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5129BE">
        <w:trPr>
          <w:tblCellSpacing w:w="0" w:type="dxa"/>
        </w:trPr>
        <w:tc>
          <w:tcPr>
            <w:tcW w:w="3345" w:type="dxa"/>
            <w:hideMark/>
          </w:tcPr>
          <w:p w:rsidR="005129BE" w:rsidRDefault="00E709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BỘ CÔNG THƯƠNG</w:t>
            </w:r>
            <w:r>
              <w:rPr>
                <w:rFonts w:ascii="Times New Roman" w:eastAsia="Times New Roman" w:hAnsi="Times New Roman" w:cs="Times New Roman"/>
                <w:b/>
                <w:bCs/>
                <w:sz w:val="24"/>
                <w:szCs w:val="24"/>
              </w:rPr>
              <w:br/>
              <w:t>--------</w:t>
            </w:r>
          </w:p>
        </w:tc>
        <w:tc>
          <w:tcPr>
            <w:tcW w:w="5505" w:type="dxa"/>
            <w:hideMark/>
          </w:tcPr>
          <w:p w:rsidR="005129BE" w:rsidRDefault="00E709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CỘNG HÒA XÃ HỘI CHỦ NGHĨA VIỆT NAM</w:t>
            </w:r>
            <w:r>
              <w:rPr>
                <w:rFonts w:ascii="Times New Roman" w:eastAsia="Times New Roman" w:hAnsi="Times New Roman" w:cs="Times New Roman"/>
                <w:b/>
                <w:bCs/>
                <w:sz w:val="24"/>
                <w:szCs w:val="24"/>
              </w:rPr>
              <w:br/>
              <w:t xml:space="preserve">Độc lập - Tự do - Hạnh phúc </w:t>
            </w:r>
            <w:r>
              <w:rPr>
                <w:rFonts w:ascii="Times New Roman" w:eastAsia="Times New Roman" w:hAnsi="Times New Roman" w:cs="Times New Roman"/>
                <w:b/>
                <w:bCs/>
                <w:sz w:val="24"/>
                <w:szCs w:val="24"/>
              </w:rPr>
              <w:br/>
              <w:t>---------------</w:t>
            </w:r>
          </w:p>
        </w:tc>
      </w:tr>
      <w:tr w:rsidR="005129BE">
        <w:trPr>
          <w:tblCellSpacing w:w="0" w:type="dxa"/>
        </w:trPr>
        <w:tc>
          <w:tcPr>
            <w:tcW w:w="3345" w:type="dxa"/>
            <w:hideMark/>
          </w:tcPr>
          <w:p w:rsidR="005129BE" w:rsidRDefault="00E709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Số: </w:t>
            </w:r>
            <w:bookmarkStart w:id="0" w:name="_GoBack"/>
            <w:r>
              <w:rPr>
                <w:rFonts w:ascii="Times New Roman" w:eastAsia="Times New Roman" w:hAnsi="Times New Roman" w:cs="Times New Roman"/>
                <w:sz w:val="24"/>
                <w:szCs w:val="24"/>
              </w:rPr>
              <w:t>23/2020/TT-</w:t>
            </w:r>
            <w:proofErr w:type="spellStart"/>
            <w:r>
              <w:rPr>
                <w:rFonts w:ascii="Times New Roman" w:eastAsia="Times New Roman" w:hAnsi="Times New Roman" w:cs="Times New Roman"/>
                <w:sz w:val="24"/>
                <w:szCs w:val="24"/>
              </w:rPr>
              <w:t>BCT</w:t>
            </w:r>
            <w:bookmarkEnd w:id="0"/>
            <w:proofErr w:type="spellEnd"/>
          </w:p>
        </w:tc>
        <w:tc>
          <w:tcPr>
            <w:tcW w:w="5505" w:type="dxa"/>
            <w:hideMark/>
          </w:tcPr>
          <w:p w:rsidR="005129BE" w:rsidRDefault="00E70927">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Hà Nội, ngày 09 tháng 9 năm 2020</w:t>
            </w:r>
          </w:p>
        </w:tc>
      </w:tr>
    </w:tbl>
    <w:p w:rsidR="005129BE" w:rsidRDefault="00E709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5129BE" w:rsidRDefault="00E70927">
      <w:pPr>
        <w:spacing w:before="100" w:beforeAutospacing="1" w:after="100" w:afterAutospacing="1" w:line="240" w:lineRule="auto"/>
        <w:jc w:val="center"/>
        <w:rPr>
          <w:rFonts w:ascii="Times New Roman" w:eastAsia="Times New Roman" w:hAnsi="Times New Roman" w:cs="Times New Roman"/>
          <w:sz w:val="24"/>
          <w:szCs w:val="24"/>
        </w:rPr>
      </w:pPr>
      <w:bookmarkStart w:id="1" w:name="loai_1"/>
      <w:r>
        <w:rPr>
          <w:rFonts w:ascii="Times New Roman" w:eastAsia="Times New Roman" w:hAnsi="Times New Roman" w:cs="Times New Roman"/>
          <w:b/>
          <w:bCs/>
          <w:sz w:val="24"/>
          <w:szCs w:val="24"/>
        </w:rPr>
        <w:t>THÔNG TƯ</w:t>
      </w:r>
      <w:bookmarkEnd w:id="1"/>
    </w:p>
    <w:p w:rsidR="005129BE" w:rsidRDefault="00E70927">
      <w:pPr>
        <w:spacing w:before="100" w:beforeAutospacing="1" w:after="100" w:afterAutospacing="1" w:line="240" w:lineRule="auto"/>
        <w:jc w:val="center"/>
        <w:rPr>
          <w:rFonts w:ascii="Times New Roman" w:eastAsia="Times New Roman" w:hAnsi="Times New Roman" w:cs="Times New Roman"/>
          <w:sz w:val="24"/>
          <w:szCs w:val="24"/>
        </w:rPr>
      </w:pPr>
      <w:bookmarkStart w:id="2" w:name="loai_1_name"/>
      <w:r>
        <w:rPr>
          <w:rFonts w:ascii="Times New Roman" w:eastAsia="Times New Roman" w:hAnsi="Times New Roman" w:cs="Times New Roman"/>
          <w:sz w:val="24"/>
          <w:szCs w:val="24"/>
        </w:rPr>
        <w:t>QUY ĐỊNH PHƯƠNG PHÁP XÁC ĐỊNH VÀ MỨC CHI PHÍ NGỪNG, CẤP ĐIỆN TRỞ LẠI</w:t>
      </w:r>
      <w:bookmarkEnd w:id="2"/>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Căn cứ Nghị định số </w:t>
      </w:r>
      <w:hyperlink r:id="rId5" w:tgtFrame="_blank" w:tooltip="Nghị định 98/2017/NĐ-CP" w:history="1">
        <w:r>
          <w:rPr>
            <w:rFonts w:ascii="Times New Roman" w:eastAsia="Times New Roman" w:hAnsi="Times New Roman" w:cs="Times New Roman"/>
            <w:i/>
            <w:iCs/>
            <w:color w:val="0000FF"/>
            <w:sz w:val="24"/>
            <w:szCs w:val="24"/>
            <w:u w:val="single"/>
          </w:rPr>
          <w:t>98/2017/</w:t>
        </w:r>
        <w:proofErr w:type="spellStart"/>
        <w:r>
          <w:rPr>
            <w:rFonts w:ascii="Times New Roman" w:eastAsia="Times New Roman" w:hAnsi="Times New Roman" w:cs="Times New Roman"/>
            <w:i/>
            <w:iCs/>
            <w:color w:val="0000FF"/>
            <w:sz w:val="24"/>
            <w:szCs w:val="24"/>
            <w:u w:val="single"/>
          </w:rPr>
          <w:t>NĐ</w:t>
        </w:r>
        <w:proofErr w:type="spellEnd"/>
        <w:r>
          <w:rPr>
            <w:rFonts w:ascii="Times New Roman" w:eastAsia="Times New Roman" w:hAnsi="Times New Roman" w:cs="Times New Roman"/>
            <w:i/>
            <w:iCs/>
            <w:color w:val="0000FF"/>
            <w:sz w:val="24"/>
            <w:szCs w:val="24"/>
            <w:u w:val="single"/>
          </w:rPr>
          <w:t>-CP</w:t>
        </w:r>
      </w:hyperlink>
      <w:r>
        <w:rPr>
          <w:rFonts w:ascii="Times New Roman" w:eastAsia="Times New Roman" w:hAnsi="Times New Roman" w:cs="Times New Roman"/>
          <w:i/>
          <w:iCs/>
          <w:sz w:val="24"/>
          <w:szCs w:val="24"/>
        </w:rPr>
        <w:t xml:space="preserve"> ngày 18 tháng 8 năm 2017 của Chính phủ quy đ</w:t>
      </w:r>
      <w:r>
        <w:rPr>
          <w:rFonts w:ascii="Times New Roman" w:eastAsia="Times New Roman" w:hAnsi="Times New Roman" w:cs="Times New Roman"/>
          <w:i/>
          <w:iCs/>
          <w:sz w:val="24"/>
          <w:szCs w:val="24"/>
        </w:rPr>
        <w:t>ịnh chức năng, nhiệm vụ, quyền hạn và cơ cấu tổ chức của Bộ Công Thương;</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Căn cứ Luật Điện lực ngày 03 tháng 12 năm 2004 và Luật sửa đổi, bổ sung một số điều của Luật Điện lực ngày 20 tháng 11 năm 2012;</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Căn cứ Nghị định số </w:t>
      </w:r>
      <w:hyperlink r:id="rId6" w:tgtFrame="_blank" w:tooltip="Nghị định 137/2013/NĐ-CP" w:history="1">
        <w:r>
          <w:rPr>
            <w:rFonts w:ascii="Times New Roman" w:eastAsia="Times New Roman" w:hAnsi="Times New Roman" w:cs="Times New Roman"/>
            <w:i/>
            <w:iCs/>
            <w:color w:val="0000FF"/>
            <w:sz w:val="24"/>
            <w:szCs w:val="24"/>
            <w:u w:val="single"/>
          </w:rPr>
          <w:t>137/2013/</w:t>
        </w:r>
        <w:proofErr w:type="spellStart"/>
        <w:r>
          <w:rPr>
            <w:rFonts w:ascii="Times New Roman" w:eastAsia="Times New Roman" w:hAnsi="Times New Roman" w:cs="Times New Roman"/>
            <w:i/>
            <w:iCs/>
            <w:color w:val="0000FF"/>
            <w:sz w:val="24"/>
            <w:szCs w:val="24"/>
            <w:u w:val="single"/>
          </w:rPr>
          <w:t>NĐ</w:t>
        </w:r>
        <w:proofErr w:type="spellEnd"/>
        <w:r>
          <w:rPr>
            <w:rFonts w:ascii="Times New Roman" w:eastAsia="Times New Roman" w:hAnsi="Times New Roman" w:cs="Times New Roman"/>
            <w:i/>
            <w:iCs/>
            <w:color w:val="0000FF"/>
            <w:sz w:val="24"/>
            <w:szCs w:val="24"/>
            <w:u w:val="single"/>
          </w:rPr>
          <w:t>-CP</w:t>
        </w:r>
      </w:hyperlink>
      <w:r>
        <w:rPr>
          <w:rFonts w:ascii="Times New Roman" w:eastAsia="Times New Roman" w:hAnsi="Times New Roman" w:cs="Times New Roman"/>
          <w:i/>
          <w:iCs/>
          <w:sz w:val="24"/>
          <w:szCs w:val="24"/>
        </w:rPr>
        <w:t xml:space="preserve"> ngày 21 tháng 10 năm 2013 của Chính phủ quy định chi tiết thi hành một số điều của Luật Điện lực và Luật sửa</w:t>
      </w:r>
      <w:r>
        <w:rPr>
          <w:rFonts w:ascii="Times New Roman" w:eastAsia="Times New Roman" w:hAnsi="Times New Roman" w:cs="Times New Roman"/>
          <w:i/>
          <w:iCs/>
          <w:sz w:val="24"/>
          <w:szCs w:val="24"/>
        </w:rPr>
        <w:t xml:space="preserve"> đổi, bổ sung một số điều của Luật Điện lực;</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Theo đề nghị của Cục trưởng Cục Điều tiết điện lực;</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Bộ trưởng Bộ Công Thương ban hành Thông tư quy định phương pháp xác định và mức chi phí ngừng, cấp điện trở lại.</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bookmarkStart w:id="3" w:name="chuong_1"/>
      <w:r>
        <w:rPr>
          <w:rFonts w:ascii="Times New Roman" w:eastAsia="Times New Roman" w:hAnsi="Times New Roman" w:cs="Times New Roman"/>
          <w:b/>
          <w:bCs/>
          <w:sz w:val="24"/>
          <w:szCs w:val="24"/>
        </w:rPr>
        <w:t>Chương I</w:t>
      </w:r>
      <w:bookmarkEnd w:id="3"/>
    </w:p>
    <w:p w:rsidR="005129BE" w:rsidRDefault="00E70927">
      <w:pPr>
        <w:spacing w:before="100" w:beforeAutospacing="1" w:after="100" w:afterAutospacing="1" w:line="240" w:lineRule="auto"/>
        <w:jc w:val="center"/>
        <w:rPr>
          <w:rFonts w:ascii="Times New Roman" w:eastAsia="Times New Roman" w:hAnsi="Times New Roman" w:cs="Times New Roman"/>
          <w:sz w:val="24"/>
          <w:szCs w:val="24"/>
        </w:rPr>
      </w:pPr>
      <w:bookmarkStart w:id="4" w:name="chuong_1_name"/>
      <w:r>
        <w:rPr>
          <w:rFonts w:ascii="Times New Roman" w:eastAsia="Times New Roman" w:hAnsi="Times New Roman" w:cs="Times New Roman"/>
          <w:b/>
          <w:bCs/>
          <w:sz w:val="24"/>
          <w:szCs w:val="24"/>
        </w:rPr>
        <w:t>QUY ĐỊNH CHUNG</w:t>
      </w:r>
      <w:bookmarkEnd w:id="4"/>
    </w:p>
    <w:p w:rsidR="005129BE" w:rsidRDefault="00E70927">
      <w:pPr>
        <w:spacing w:before="100" w:beforeAutospacing="1" w:after="100" w:afterAutospacing="1" w:line="240" w:lineRule="auto"/>
        <w:rPr>
          <w:rFonts w:ascii="Times New Roman" w:eastAsia="Times New Roman" w:hAnsi="Times New Roman" w:cs="Times New Roman"/>
          <w:sz w:val="24"/>
          <w:szCs w:val="24"/>
        </w:rPr>
      </w:pPr>
      <w:bookmarkStart w:id="5" w:name="dieu_1"/>
      <w:r>
        <w:rPr>
          <w:rFonts w:ascii="Times New Roman" w:eastAsia="Times New Roman" w:hAnsi="Times New Roman" w:cs="Times New Roman"/>
          <w:b/>
          <w:bCs/>
          <w:sz w:val="24"/>
          <w:szCs w:val="24"/>
        </w:rPr>
        <w:t xml:space="preserve">Điều 1. Phạm vi điều </w:t>
      </w:r>
      <w:r>
        <w:rPr>
          <w:rFonts w:ascii="Times New Roman" w:eastAsia="Times New Roman" w:hAnsi="Times New Roman" w:cs="Times New Roman"/>
          <w:b/>
          <w:bCs/>
          <w:sz w:val="24"/>
          <w:szCs w:val="24"/>
        </w:rPr>
        <w:t>chỉnh</w:t>
      </w:r>
      <w:bookmarkEnd w:id="5"/>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Thông tư này quy định phương pháp xác định và mức chi phí ngừng, cấp điện trở lại do các tổ chức, cá nhân liên quan phải trả cho bên bán điện để thực hiện ngừng và cấp điện trở lại trong các trường hợp như sau:</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Ngừng, giảm cấp điện không khẩn cấp </w:t>
      </w:r>
      <w:r>
        <w:rPr>
          <w:rFonts w:ascii="Times New Roman" w:eastAsia="Times New Roman" w:hAnsi="Times New Roman" w:cs="Times New Roman"/>
          <w:sz w:val="24"/>
          <w:szCs w:val="24"/>
        </w:rPr>
        <w:t>bao gồm:</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Ngừng cấp điện theo yêu cầu của tổ chức, cá nhân có liên quan trong trường hợp để đảm bảo an toàn phục vụ thi công các công trình;</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Ngừng, giảm mức cung cấp điện theo yêu cầu của bên mua điện.</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Ngừng cấp điện do tổ chức, cá nhân vi phạm quy</w:t>
      </w:r>
      <w:r>
        <w:rPr>
          <w:rFonts w:ascii="Times New Roman" w:eastAsia="Times New Roman" w:hAnsi="Times New Roman" w:cs="Times New Roman"/>
          <w:sz w:val="24"/>
          <w:szCs w:val="24"/>
        </w:rPr>
        <w:t xml:space="preserve"> định của pháp luật bị bên bán điện ngừng cấp điện trong các trường hợp quy định tại Quy định điều kiện, trình tự ngừng, giảm mức cung cấp điện do Bộ trưởng Bộ Công Thương ban hành.</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bookmarkStart w:id="6" w:name="dieu_2"/>
      <w:r>
        <w:rPr>
          <w:rFonts w:ascii="Times New Roman" w:eastAsia="Times New Roman" w:hAnsi="Times New Roman" w:cs="Times New Roman"/>
          <w:b/>
          <w:bCs/>
          <w:sz w:val="24"/>
          <w:szCs w:val="24"/>
        </w:rPr>
        <w:t>Điều 2. Đối tượng áp dụng</w:t>
      </w:r>
      <w:bookmarkEnd w:id="6"/>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Bên bán điện.</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Bên mua điện yêu cầu bên bán</w:t>
      </w:r>
      <w:r>
        <w:rPr>
          <w:rFonts w:ascii="Times New Roman" w:eastAsia="Times New Roman" w:hAnsi="Times New Roman" w:cs="Times New Roman"/>
          <w:sz w:val="24"/>
          <w:szCs w:val="24"/>
        </w:rPr>
        <w:t xml:space="preserve"> điện ngừng cung cấp điện.</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Tổ chức, cá nhân yêu cầu bên bán điện ngừng cấp điện trong các trường hợp để đảm bảo an toàn phục vụ thi công các công trình.</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Tổ chức, cá nhân vi phạm quy định của pháp luật bị bên bán điện ngừng cấp điện trong các trường h</w:t>
      </w:r>
      <w:r>
        <w:rPr>
          <w:rFonts w:ascii="Times New Roman" w:eastAsia="Times New Roman" w:hAnsi="Times New Roman" w:cs="Times New Roman"/>
          <w:sz w:val="24"/>
          <w:szCs w:val="24"/>
        </w:rPr>
        <w:t>ợp quy định tại Quy định điều kiện, trình tự ngừng, giảm mức cung cấp điện do Bộ trưởng Bộ Công Thương ban hành.</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Tập đoàn Điện lực Việt Nam.</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bookmarkStart w:id="7" w:name="dieu_3"/>
      <w:r>
        <w:rPr>
          <w:rFonts w:ascii="Times New Roman" w:eastAsia="Times New Roman" w:hAnsi="Times New Roman" w:cs="Times New Roman"/>
          <w:b/>
          <w:bCs/>
          <w:sz w:val="24"/>
          <w:szCs w:val="24"/>
        </w:rPr>
        <w:t>Điều 3. Giải thích từ ngữ</w:t>
      </w:r>
      <w:bookmarkEnd w:id="7"/>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Trong Thông tư này, các từ ngữ dưới đây được hiểu như sau:</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 Bên bán điện</w:t>
      </w:r>
      <w:r>
        <w:rPr>
          <w:rFonts w:ascii="Times New Roman" w:eastAsia="Times New Roman" w:hAnsi="Times New Roman" w:cs="Times New Roman"/>
          <w:sz w:val="24"/>
          <w:szCs w:val="24"/>
        </w:rPr>
        <w:t xml:space="preserve"> là đơn vị điện lực thực hiện ngừng, cấp điện trở lại, bao gồm: Đơn vị phân phối điện, Đơn vị phân phối và bán lẻ điện.</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 Bên mua điện</w:t>
      </w:r>
      <w:r>
        <w:rPr>
          <w:rFonts w:ascii="Times New Roman" w:eastAsia="Times New Roman" w:hAnsi="Times New Roman" w:cs="Times New Roman"/>
          <w:sz w:val="24"/>
          <w:szCs w:val="24"/>
        </w:rPr>
        <w:t xml:space="preserve"> là tổ chức, cá nhân mua điện để sử dụng hoặc để bán lẻ điện cho khách hàng sử dụng điện, bao gồm:</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Đơn vị phân phối và</w:t>
      </w:r>
      <w:r>
        <w:rPr>
          <w:rFonts w:ascii="Times New Roman" w:eastAsia="Times New Roman" w:hAnsi="Times New Roman" w:cs="Times New Roman"/>
          <w:sz w:val="24"/>
          <w:szCs w:val="24"/>
        </w:rPr>
        <w:t xml:space="preserve"> bán lẻ điện;</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Khách hàng sử dụng điện.</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 Đơn vị phân phối điện</w:t>
      </w:r>
      <w:r>
        <w:rPr>
          <w:rFonts w:ascii="Times New Roman" w:eastAsia="Times New Roman" w:hAnsi="Times New Roman" w:cs="Times New Roman"/>
          <w:sz w:val="24"/>
          <w:szCs w:val="24"/>
        </w:rPr>
        <w:t xml:space="preserve"> là đơn vị điện lực được cấp giấy phép hoạt động điện lực trong lĩnh vực phân phối và bán điện, bao gồm:</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Tổng công ty Điện lực;</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Công ty Điện lực tỉnh, thành phố trực thuộc Trung ương (</w:t>
      </w:r>
      <w:r>
        <w:rPr>
          <w:rFonts w:ascii="Times New Roman" w:eastAsia="Times New Roman" w:hAnsi="Times New Roman" w:cs="Times New Roman"/>
          <w:sz w:val="24"/>
          <w:szCs w:val="24"/>
        </w:rPr>
        <w:t>sau đây viết tắt là Công ty Điện lực tỉnh) trực thuộc Tổng công ty Điện lực;</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Công ty Điện lực cấp quận, huyện trực thuộc Tổng công ty Điện lực thành phố Hà Nội, Tổng công ty Điện lực thành phố Hồ Chí Minh.</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4. Đơn vị phân phối và bán lẻ điện</w:t>
      </w:r>
      <w:r>
        <w:rPr>
          <w:rFonts w:ascii="Times New Roman" w:eastAsia="Times New Roman" w:hAnsi="Times New Roman" w:cs="Times New Roman"/>
          <w:sz w:val="24"/>
          <w:szCs w:val="24"/>
        </w:rPr>
        <w:t xml:space="preserve"> là đơn vị đi</w:t>
      </w:r>
      <w:r>
        <w:rPr>
          <w:rFonts w:ascii="Times New Roman" w:eastAsia="Times New Roman" w:hAnsi="Times New Roman" w:cs="Times New Roman"/>
          <w:sz w:val="24"/>
          <w:szCs w:val="24"/>
        </w:rPr>
        <w:t>ện lực được cấp giấy phép hoạt động điện lực trong lĩnh vực phân phối và bán lẻ điện, mua buôn điện từ Đơn vị phân phối điện để bán lẻ điện cho khách hàng sử dụng điện.</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bookmarkStart w:id="8" w:name="dieu_4"/>
      <w:r>
        <w:rPr>
          <w:rFonts w:ascii="Times New Roman" w:eastAsia="Times New Roman" w:hAnsi="Times New Roman" w:cs="Times New Roman"/>
          <w:b/>
          <w:bCs/>
          <w:sz w:val="24"/>
          <w:szCs w:val="24"/>
        </w:rPr>
        <w:t>Điều 4. Thu và hạch toán chi phí ngừng, cấp điện trở lại</w:t>
      </w:r>
      <w:bookmarkEnd w:id="8"/>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Bên bán điện được phép thu </w:t>
      </w:r>
      <w:r>
        <w:rPr>
          <w:rFonts w:ascii="Times New Roman" w:eastAsia="Times New Roman" w:hAnsi="Times New Roman" w:cs="Times New Roman"/>
          <w:sz w:val="24"/>
          <w:szCs w:val="24"/>
        </w:rPr>
        <w:t>chi phí ngừng, cấp điện trở lại theo quy định tại Thông tư này. Chi phí này nhằm bù đắp cho bên bán điện để thực hiện việc ngừng, cấp điện trở lại. Tiền thu chi phí ngừng và cấp điện trở lại được hạch toán vào doanh thu của bên bán điện (phân doanh thu sản</w:t>
      </w:r>
      <w:r>
        <w:rPr>
          <w:rFonts w:ascii="Times New Roman" w:eastAsia="Times New Roman" w:hAnsi="Times New Roman" w:cs="Times New Roman"/>
          <w:sz w:val="24"/>
          <w:szCs w:val="24"/>
        </w:rPr>
        <w:t xml:space="preserve"> xuất kinh doanh khác) và nộp thuế theo quy định.</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Chi phí ngừng và cấp điện trở lại được thu như sau:</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Thu trước khi ngừng cấp điện đối với đối tượng quy định tại khoản 2 và khoản 3 Điều 2 Thông tư này;</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Thu trước khi cấp điện trở lại đối với đối </w:t>
      </w:r>
      <w:r>
        <w:rPr>
          <w:rFonts w:ascii="Times New Roman" w:eastAsia="Times New Roman" w:hAnsi="Times New Roman" w:cs="Times New Roman"/>
          <w:sz w:val="24"/>
          <w:szCs w:val="24"/>
        </w:rPr>
        <w:t>tượng quy định tại khoản 4 Điều 2 Thông tư này.</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bookmarkStart w:id="9" w:name="chuong_2"/>
      <w:r>
        <w:rPr>
          <w:rFonts w:ascii="Times New Roman" w:eastAsia="Times New Roman" w:hAnsi="Times New Roman" w:cs="Times New Roman"/>
          <w:b/>
          <w:bCs/>
          <w:sz w:val="24"/>
          <w:szCs w:val="24"/>
        </w:rPr>
        <w:t>Chương II</w:t>
      </w:r>
      <w:bookmarkEnd w:id="9"/>
    </w:p>
    <w:p w:rsidR="005129BE" w:rsidRDefault="00E70927">
      <w:pPr>
        <w:spacing w:before="100" w:beforeAutospacing="1" w:after="100" w:afterAutospacing="1" w:line="240" w:lineRule="auto"/>
        <w:jc w:val="center"/>
        <w:rPr>
          <w:rFonts w:ascii="Times New Roman" w:eastAsia="Times New Roman" w:hAnsi="Times New Roman" w:cs="Times New Roman"/>
          <w:sz w:val="24"/>
          <w:szCs w:val="24"/>
        </w:rPr>
      </w:pPr>
      <w:bookmarkStart w:id="10" w:name="chuong_2_name"/>
      <w:r>
        <w:rPr>
          <w:rFonts w:ascii="Times New Roman" w:eastAsia="Times New Roman" w:hAnsi="Times New Roman" w:cs="Times New Roman"/>
          <w:b/>
          <w:bCs/>
          <w:sz w:val="24"/>
          <w:szCs w:val="24"/>
        </w:rPr>
        <w:t>PHƯƠNG PHÁP XÁC ĐỊNH VÀ MỨC CHI PHÍ NGỪNG, CẤP ĐIỆN TRỞ LẠI</w:t>
      </w:r>
      <w:bookmarkEnd w:id="10"/>
    </w:p>
    <w:p w:rsidR="005129BE" w:rsidRDefault="00E70927">
      <w:pPr>
        <w:spacing w:before="100" w:beforeAutospacing="1" w:after="100" w:afterAutospacing="1" w:line="240" w:lineRule="auto"/>
        <w:rPr>
          <w:rFonts w:ascii="Times New Roman" w:eastAsia="Times New Roman" w:hAnsi="Times New Roman" w:cs="Times New Roman"/>
          <w:sz w:val="24"/>
          <w:szCs w:val="24"/>
        </w:rPr>
      </w:pPr>
      <w:bookmarkStart w:id="11" w:name="dieu_5"/>
      <w:r>
        <w:rPr>
          <w:rFonts w:ascii="Times New Roman" w:eastAsia="Times New Roman" w:hAnsi="Times New Roman" w:cs="Times New Roman"/>
          <w:b/>
          <w:bCs/>
          <w:sz w:val="24"/>
          <w:szCs w:val="24"/>
        </w:rPr>
        <w:t>Điều 5. Nguyên tắc tính mức chi phí ngừng, cấp điện trở lại</w:t>
      </w:r>
      <w:bookmarkEnd w:id="11"/>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Công thức tính mức chi phí cho một lần ngừng, cấp điện trở lại như sau:</w:t>
      </w:r>
    </w:p>
    <w:p w:rsidR="005129BE" w:rsidRDefault="00E709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 =</w:t>
      </w:r>
      <w:r>
        <w:rPr>
          <w:rFonts w:ascii="Times New Roman" w:eastAsia="Times New Roman" w:hAnsi="Times New Roman" w:cs="Times New Roman"/>
          <w:i/>
          <w:iCs/>
          <w:sz w:val="24"/>
          <w:szCs w:val="24"/>
        </w:rPr>
        <w:t xml:space="preserve"> M</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k x n</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Trong đó:</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 Số tiền bên bán điện được phép thu để thực hiện việc ngừng, cấp điện trở lại;</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 Mức chi phí ngừng, cấp điện trở lại cơ sở quy định tại Điều 6 Thông tư này;</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 Hệ số điều chỉnh theo khoảng cách quy định tại Điều 7 Thông tư này</w:t>
      </w:r>
      <w:r>
        <w:rPr>
          <w:rFonts w:ascii="Times New Roman" w:eastAsia="Times New Roman" w:hAnsi="Times New Roman" w:cs="Times New Roman"/>
          <w:sz w:val="24"/>
          <w:szCs w:val="24"/>
        </w:rPr>
        <w:t>;</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 Hệ số điều chỉnh theo vùng, miền quy định tại Điều 8 Thông tư này.</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Mức chi phí cho 01 (một) lần ngừng, cấp điện trở lại quy định tại Điều này chưa bao gồm thuế giá trị gia tăng (VAT).</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bookmarkStart w:id="12" w:name="dieu_6"/>
      <w:r>
        <w:rPr>
          <w:rFonts w:ascii="Times New Roman" w:eastAsia="Times New Roman" w:hAnsi="Times New Roman" w:cs="Times New Roman"/>
          <w:b/>
          <w:bCs/>
          <w:sz w:val="24"/>
          <w:szCs w:val="24"/>
        </w:rPr>
        <w:t>Điều 6. Mức chi phí ngừng, cấp điện trở lại cơ sở (M)</w:t>
      </w:r>
      <w:bookmarkEnd w:id="12"/>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Công </w:t>
      </w:r>
      <w:r>
        <w:rPr>
          <w:rFonts w:ascii="Times New Roman" w:eastAsia="Times New Roman" w:hAnsi="Times New Roman" w:cs="Times New Roman"/>
          <w:sz w:val="24"/>
          <w:szCs w:val="24"/>
        </w:rPr>
        <w:t>thức tính mức chi phí ngừng, cấp điện trở lại cơ sở (M)</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Mức chi phí ngừng và cấp điện trở lại cơ sở (M) là mức chi phí cho 01 (một) lần ngừng, cấp điện trở lại tại khu vực đồng bằng, có khoảng cách từ trụ sở đơn vị trực tiếp thực hiện ngừng, cấp điện trở l</w:t>
      </w:r>
      <w:r>
        <w:rPr>
          <w:rFonts w:ascii="Times New Roman" w:eastAsia="Times New Roman" w:hAnsi="Times New Roman" w:cs="Times New Roman"/>
          <w:sz w:val="24"/>
          <w:szCs w:val="24"/>
        </w:rPr>
        <w:t>ại đến địa điểm thực hiện ngừng, cấp điện trở lại từ 5 km trở xuống được xác định bằng công thức sau:</w:t>
      </w:r>
    </w:p>
    <w:p w:rsidR="005129BE" w:rsidRDefault="00E709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M = Chi phí nhân công + Chi phí đi lại</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Trong đó:</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Chi phí nhân công tính theo các yếu tố: Mức lương cơ sở của Tập đoàn Điện lực Việt Nam cho 01 ngày công</w:t>
      </w:r>
      <w:r>
        <w:rPr>
          <w:rFonts w:ascii="Times New Roman" w:eastAsia="Times New Roman" w:hAnsi="Times New Roman" w:cs="Times New Roman"/>
          <w:sz w:val="24"/>
          <w:szCs w:val="24"/>
        </w:rPr>
        <w:t>, hệ số lương bậc thợ, hệ số phụ cấp lưu động và số công cho 01 (một) lần đóng cắt theo các cấp điện áp;</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Chi phí đi lại: Được xác định là mức chi phí đi lại để thực hiện cho 01 (một) lần ngừng, cấp điện trở lại tại khu vực đồng bằng, có khoảng cách từ tr</w:t>
      </w:r>
      <w:r>
        <w:rPr>
          <w:rFonts w:ascii="Times New Roman" w:eastAsia="Times New Roman" w:hAnsi="Times New Roman" w:cs="Times New Roman"/>
          <w:sz w:val="24"/>
          <w:szCs w:val="24"/>
        </w:rPr>
        <w:t>ụ sở đơn vị trực tiếp thực hiện ngừng, cấp điện trở lại đến địa điểm thực hiện ngừng, cấp điện trở lại từ 5 km trở xuống.</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Mức chi phí ngừng, cấp điện trở lại cơ sở (M) được quy định như sau:</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Tại điểm có cấp điện áp từ 0,38 kV trở xuống: M = 98.000 </w:t>
      </w:r>
      <w:r>
        <w:rPr>
          <w:rFonts w:ascii="Times New Roman" w:eastAsia="Times New Roman" w:hAnsi="Times New Roman" w:cs="Times New Roman"/>
          <w:sz w:val="24"/>
          <w:szCs w:val="24"/>
        </w:rPr>
        <w:t>đồng;</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Tại điểm có cấp điện áp trên 0,38 kV đến 35 kV: M = 231.000 đồng;</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Tại điểm có cấp điện áp trên 35 kV: M = 339.000 đồng.</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bookmarkStart w:id="13" w:name="dieu_7"/>
      <w:r>
        <w:rPr>
          <w:rFonts w:ascii="Times New Roman" w:eastAsia="Times New Roman" w:hAnsi="Times New Roman" w:cs="Times New Roman"/>
          <w:b/>
          <w:bCs/>
          <w:sz w:val="24"/>
          <w:szCs w:val="24"/>
        </w:rPr>
        <w:t>Điều 7. Hệ số điều chỉnh theo khoảng cách (k)</w:t>
      </w:r>
      <w:bookmarkEnd w:id="13"/>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Hệ số điều chỉnh theo khoảng cách (k) được xác định theo khoảng cách từ trụ</w:t>
      </w:r>
      <w:r>
        <w:rPr>
          <w:rFonts w:ascii="Times New Roman" w:eastAsia="Times New Roman" w:hAnsi="Times New Roman" w:cs="Times New Roman"/>
          <w:sz w:val="24"/>
          <w:szCs w:val="24"/>
        </w:rPr>
        <w:t xml:space="preserve"> sở đơn vị trực tiếp thực hiện ngừng, cấp điện đến địa điểm thực hiện ngừng, cấp điện trở lại.</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Đối với khách hàng sử dụng điện phục vụ mục đích sinh hoạt, hệ số điều chỉnh theo khoảng cách k = 1, không phụ thuộc vào khoảng cách từ trụ sở đơn vị trực tiế</w:t>
      </w:r>
      <w:r>
        <w:rPr>
          <w:rFonts w:ascii="Times New Roman" w:eastAsia="Times New Roman" w:hAnsi="Times New Roman" w:cs="Times New Roman"/>
          <w:sz w:val="24"/>
          <w:szCs w:val="24"/>
        </w:rPr>
        <w:t>p thực hiện ngừng, cấp điện trở lại đến địa điểm thực hiện ngừng, cấp điện trở lại.</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Đối với khách hàng mua điện ngoài mục đích sinh hoạt và tổ chức, cá nhân yêu cầu ngừng cấp điện, hệ số điều chỉnh theo khoảng cách được áp dụng như sau:</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Đến 05 km: Hệ</w:t>
      </w:r>
      <w:r>
        <w:rPr>
          <w:rFonts w:ascii="Times New Roman" w:eastAsia="Times New Roman" w:hAnsi="Times New Roman" w:cs="Times New Roman"/>
          <w:sz w:val="24"/>
          <w:szCs w:val="24"/>
        </w:rPr>
        <w:t xml:space="preserve"> số k = 1;</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Trên 05 km đến 10 km: Hệ số k = 1,14;</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Trên 10 km đến 20 km: Hệ số k = 1,28;</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Trên 20 km đến 30 km: Hệ số k = 1,42;</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 Trên 30 km đến 50 km: Hệ số k = 1,56;</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Trên 50 km: Hệ số k = 1,70.</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bookmarkStart w:id="14" w:name="dieu_8"/>
      <w:r>
        <w:rPr>
          <w:rFonts w:ascii="Times New Roman" w:eastAsia="Times New Roman" w:hAnsi="Times New Roman" w:cs="Times New Roman"/>
          <w:b/>
          <w:bCs/>
          <w:sz w:val="24"/>
          <w:szCs w:val="24"/>
        </w:rPr>
        <w:t>Điều 8. Hệ số điều chỉnh theo vùng, miền (n)</w:t>
      </w:r>
      <w:bookmarkEnd w:id="14"/>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Hệ</w:t>
      </w:r>
      <w:r>
        <w:rPr>
          <w:rFonts w:ascii="Times New Roman" w:eastAsia="Times New Roman" w:hAnsi="Times New Roman" w:cs="Times New Roman"/>
          <w:sz w:val="24"/>
          <w:szCs w:val="24"/>
        </w:rPr>
        <w:t xml:space="preserve"> số điều chỉnh theo vùng, miền (n) được xác định theo khu vực thực hiện ngừng, cấp điện trở lại.</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Đối với khách hàng sử dụng điện phục vụ mục đích sinh hoạt, hệ số vùng, miền n = 1, không phân biệt khu vực đồng bằng, miền núi, hải đảo.</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Đối với khách h</w:t>
      </w:r>
      <w:r>
        <w:rPr>
          <w:rFonts w:ascii="Times New Roman" w:eastAsia="Times New Roman" w:hAnsi="Times New Roman" w:cs="Times New Roman"/>
          <w:sz w:val="24"/>
          <w:szCs w:val="24"/>
        </w:rPr>
        <w:t>àng mua điện ngoài mục đích sinh hoạt và tổ chức, cá nhân yêu cầu ngừng cấp điện, hệ số điều chỉnh theo vùng, miền (n) được áp dụng như sau:</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Tại khu vực đồng bằng: Hệ số n = 1;</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Tại khu vực miền núi, hải đảo: Hệ số n = 1,15.</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bookmarkStart w:id="15" w:name="chuong_3"/>
      <w:r>
        <w:rPr>
          <w:rFonts w:ascii="Times New Roman" w:eastAsia="Times New Roman" w:hAnsi="Times New Roman" w:cs="Times New Roman"/>
          <w:b/>
          <w:bCs/>
          <w:sz w:val="24"/>
          <w:szCs w:val="24"/>
        </w:rPr>
        <w:t>Chương III</w:t>
      </w:r>
      <w:bookmarkEnd w:id="15"/>
    </w:p>
    <w:p w:rsidR="005129BE" w:rsidRDefault="00E70927">
      <w:pPr>
        <w:spacing w:before="100" w:beforeAutospacing="1" w:after="100" w:afterAutospacing="1" w:line="240" w:lineRule="auto"/>
        <w:jc w:val="center"/>
        <w:rPr>
          <w:rFonts w:ascii="Times New Roman" w:eastAsia="Times New Roman" w:hAnsi="Times New Roman" w:cs="Times New Roman"/>
          <w:sz w:val="24"/>
          <w:szCs w:val="24"/>
        </w:rPr>
      </w:pPr>
      <w:bookmarkStart w:id="16" w:name="chuong_3_name"/>
      <w:r>
        <w:rPr>
          <w:rFonts w:ascii="Times New Roman" w:eastAsia="Times New Roman" w:hAnsi="Times New Roman" w:cs="Times New Roman"/>
          <w:b/>
          <w:bCs/>
          <w:sz w:val="24"/>
          <w:szCs w:val="24"/>
        </w:rPr>
        <w:t>TỔ CHỨC THỰC HI</w:t>
      </w:r>
      <w:r>
        <w:rPr>
          <w:rFonts w:ascii="Times New Roman" w:eastAsia="Times New Roman" w:hAnsi="Times New Roman" w:cs="Times New Roman"/>
          <w:b/>
          <w:bCs/>
          <w:sz w:val="24"/>
          <w:szCs w:val="24"/>
        </w:rPr>
        <w:t>ỆN</w:t>
      </w:r>
      <w:bookmarkEnd w:id="16"/>
    </w:p>
    <w:p w:rsidR="005129BE" w:rsidRDefault="00E70927">
      <w:pPr>
        <w:spacing w:before="100" w:beforeAutospacing="1" w:after="100" w:afterAutospacing="1" w:line="240" w:lineRule="auto"/>
        <w:rPr>
          <w:rFonts w:ascii="Times New Roman" w:eastAsia="Times New Roman" w:hAnsi="Times New Roman" w:cs="Times New Roman"/>
          <w:sz w:val="24"/>
          <w:szCs w:val="24"/>
        </w:rPr>
      </w:pPr>
      <w:bookmarkStart w:id="17" w:name="dieu_9"/>
      <w:r>
        <w:rPr>
          <w:rFonts w:ascii="Times New Roman" w:eastAsia="Times New Roman" w:hAnsi="Times New Roman" w:cs="Times New Roman"/>
          <w:b/>
          <w:bCs/>
          <w:sz w:val="24"/>
          <w:szCs w:val="24"/>
        </w:rPr>
        <w:t>Điều 9. Tổ chức thực hiện</w:t>
      </w:r>
      <w:bookmarkEnd w:id="17"/>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Cục Điều tiết điện lực có trách nhiệm phổ biến, hướng dẫn và kiểm tra việc thực hiện Thông tư này.</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Trường hợp có thay đổi về chính sách tiền lương dẫn đến chi phí ngừng, cấp điện trở lại thay đổi từ 30% trở lên so với mức</w:t>
      </w:r>
      <w:r>
        <w:rPr>
          <w:rFonts w:ascii="Times New Roman" w:eastAsia="Times New Roman" w:hAnsi="Times New Roman" w:cs="Times New Roman"/>
          <w:sz w:val="24"/>
          <w:szCs w:val="24"/>
        </w:rPr>
        <w:t xml:space="preserve"> đang được áp dụng, Tập đoàn Điện lực Việt Nam có trách </w:t>
      </w:r>
      <w:r>
        <w:rPr>
          <w:rFonts w:ascii="Times New Roman" w:eastAsia="Times New Roman" w:hAnsi="Times New Roman" w:cs="Times New Roman"/>
          <w:sz w:val="24"/>
          <w:szCs w:val="24"/>
        </w:rPr>
        <w:lastRenderedPageBreak/>
        <w:t>nhiệm cập nhật, tính toán lại mức chi phí ngừng, cấp điện trở lại theo quy định tại Chương II Thông tư này, báo cáo Cục Điều tiết điện lực nghiên cứu, đề xuất, trình Bộ trưởng Bộ Công Thương sửa đổi m</w:t>
      </w:r>
      <w:r>
        <w:rPr>
          <w:rFonts w:ascii="Times New Roman" w:eastAsia="Times New Roman" w:hAnsi="Times New Roman" w:cs="Times New Roman"/>
          <w:sz w:val="24"/>
          <w:szCs w:val="24"/>
        </w:rPr>
        <w:t>ức chi phí ngừng, cấp điện trở lại cho phù hợp.</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bookmarkStart w:id="18" w:name="dieu_10"/>
      <w:r>
        <w:rPr>
          <w:rFonts w:ascii="Times New Roman" w:eastAsia="Times New Roman" w:hAnsi="Times New Roman" w:cs="Times New Roman"/>
          <w:b/>
          <w:bCs/>
          <w:sz w:val="24"/>
          <w:szCs w:val="24"/>
        </w:rPr>
        <w:t>Điều 10. Hiệu lực thi hành</w:t>
      </w:r>
      <w:bookmarkEnd w:id="18"/>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Thông tư này có hiệu lực thi hành từ ngày 30 tháng 10 năm 2020. Thông tư số </w:t>
      </w:r>
      <w:hyperlink r:id="rId7" w:tgtFrame="_blank" w:tooltip="Thông tư 25/2014/TT-BCT" w:history="1">
        <w:r>
          <w:rPr>
            <w:rFonts w:ascii="Times New Roman" w:eastAsia="Times New Roman" w:hAnsi="Times New Roman" w:cs="Times New Roman"/>
            <w:color w:val="0000FF"/>
            <w:sz w:val="24"/>
            <w:szCs w:val="24"/>
            <w:u w:val="single"/>
          </w:rPr>
          <w:t>25/2014/TT-</w:t>
        </w:r>
        <w:proofErr w:type="spellStart"/>
        <w:r>
          <w:rPr>
            <w:rFonts w:ascii="Times New Roman" w:eastAsia="Times New Roman" w:hAnsi="Times New Roman" w:cs="Times New Roman"/>
            <w:color w:val="0000FF"/>
            <w:sz w:val="24"/>
            <w:szCs w:val="24"/>
            <w:u w:val="single"/>
          </w:rPr>
          <w:t>BCT</w:t>
        </w:r>
        <w:proofErr w:type="spellEnd"/>
      </w:hyperlink>
      <w:r>
        <w:rPr>
          <w:rFonts w:ascii="Times New Roman" w:eastAsia="Times New Roman" w:hAnsi="Times New Roman" w:cs="Times New Roman"/>
          <w:sz w:val="24"/>
          <w:szCs w:val="24"/>
        </w:rPr>
        <w:t xml:space="preserve"> ngày 06 tháng 8 năm 2014 của Bộ trưởng Bộ Công Thương quy định phương pháp xác định mức chi phí ngừng và cấp điện trở lại hết hiệu lực thi hành từ ngày Thông tư này có hiệ</w:t>
      </w:r>
      <w:r>
        <w:rPr>
          <w:rFonts w:ascii="Times New Roman" w:eastAsia="Times New Roman" w:hAnsi="Times New Roman" w:cs="Times New Roman"/>
          <w:sz w:val="24"/>
          <w:szCs w:val="24"/>
        </w:rPr>
        <w:t>u lực.</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Trong quá trình thực hiện Thông tư này, nếu có vướng mắc, nội dung mới phát sinh, các đơn vị có liên quan có trách nhiệm báo cáo Cục Điều tiết điện lực nghiên cứu, đề xuất, trình Bộ trưởng Bộ Công Thương sửa đổi, bổ sung Thông tư cho phù hợp./.</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5130"/>
      </w:tblGrid>
      <w:tr w:rsidR="005129BE">
        <w:trPr>
          <w:tblCellSpacing w:w="0" w:type="dxa"/>
        </w:trPr>
        <w:tc>
          <w:tcPr>
            <w:tcW w:w="5130" w:type="dxa"/>
            <w:hideMark/>
          </w:tcPr>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w:t>
            </w:r>
          </w:p>
          <w:p w:rsidR="005129BE" w:rsidRDefault="00E70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Nơi nhận:</w:t>
            </w:r>
            <w:r>
              <w:rPr>
                <w:rFonts w:ascii="Times New Roman" w:eastAsia="Times New Roman" w:hAnsi="Times New Roman" w:cs="Times New Roman"/>
                <w:b/>
                <w:bCs/>
                <w:i/>
                <w:iCs/>
                <w:sz w:val="24"/>
                <w:szCs w:val="24"/>
              </w:rPr>
              <w:br/>
            </w:r>
            <w:r>
              <w:rPr>
                <w:rFonts w:ascii="Times New Roman" w:eastAsia="Times New Roman" w:hAnsi="Times New Roman" w:cs="Times New Roman"/>
                <w:sz w:val="24"/>
                <w:szCs w:val="24"/>
              </w:rPr>
              <w:t>- Văn phòng Chủ tịch nước;</w:t>
            </w:r>
            <w:r>
              <w:rPr>
                <w:rFonts w:ascii="Times New Roman" w:eastAsia="Times New Roman" w:hAnsi="Times New Roman" w:cs="Times New Roman"/>
                <w:sz w:val="24"/>
                <w:szCs w:val="24"/>
              </w:rPr>
              <w:br/>
              <w:t>- Văn phòng Chính phủ;</w:t>
            </w:r>
            <w:r>
              <w:rPr>
                <w:rFonts w:ascii="Times New Roman" w:eastAsia="Times New Roman" w:hAnsi="Times New Roman" w:cs="Times New Roman"/>
                <w:sz w:val="24"/>
                <w:szCs w:val="24"/>
              </w:rPr>
              <w:br/>
              <w:t>- Văn phòng Quốc hội;</w:t>
            </w:r>
            <w:r>
              <w:rPr>
                <w:rFonts w:ascii="Times New Roman" w:eastAsia="Times New Roman" w:hAnsi="Times New Roman" w:cs="Times New Roman"/>
                <w:sz w:val="24"/>
                <w:szCs w:val="24"/>
              </w:rPr>
              <w:br/>
              <w:t>- Văn phòng Tổng Bí thư;</w:t>
            </w:r>
            <w:r>
              <w:rPr>
                <w:rFonts w:ascii="Times New Roman" w:eastAsia="Times New Roman" w:hAnsi="Times New Roman" w:cs="Times New Roman"/>
                <w:sz w:val="24"/>
                <w:szCs w:val="24"/>
              </w:rPr>
              <w:br/>
              <w:t>- Thủ tướng, các Phó Thủ tướng Chính phủ;</w:t>
            </w:r>
            <w:r>
              <w:rPr>
                <w:rFonts w:ascii="Times New Roman" w:eastAsia="Times New Roman" w:hAnsi="Times New Roman" w:cs="Times New Roman"/>
                <w:sz w:val="24"/>
                <w:szCs w:val="24"/>
              </w:rPr>
              <w:br/>
              <w:t>- Các Bộ, cơ quan ngang Bộ;</w:t>
            </w:r>
            <w:r>
              <w:rPr>
                <w:rFonts w:ascii="Times New Roman" w:eastAsia="Times New Roman" w:hAnsi="Times New Roman" w:cs="Times New Roman"/>
                <w:sz w:val="24"/>
                <w:szCs w:val="24"/>
              </w:rPr>
              <w:br/>
              <w:t xml:space="preserve">- </w:t>
            </w:r>
            <w:proofErr w:type="spellStart"/>
            <w:r>
              <w:rPr>
                <w:rFonts w:ascii="Times New Roman" w:eastAsia="Times New Roman" w:hAnsi="Times New Roman" w:cs="Times New Roman"/>
                <w:sz w:val="24"/>
                <w:szCs w:val="24"/>
              </w:rPr>
              <w:t>UBND</w:t>
            </w:r>
            <w:proofErr w:type="spellEnd"/>
            <w:r>
              <w:rPr>
                <w:rFonts w:ascii="Times New Roman" w:eastAsia="Times New Roman" w:hAnsi="Times New Roman" w:cs="Times New Roman"/>
                <w:sz w:val="24"/>
                <w:szCs w:val="24"/>
              </w:rPr>
              <w:t xml:space="preserve"> tỉnh, thành phố trực thuộc TW;</w:t>
            </w:r>
            <w:r>
              <w:rPr>
                <w:rFonts w:ascii="Times New Roman" w:eastAsia="Times New Roman" w:hAnsi="Times New Roman" w:cs="Times New Roman"/>
                <w:sz w:val="24"/>
                <w:szCs w:val="24"/>
              </w:rPr>
              <w:br/>
              <w:t>- Viện Kiểm sát nhân dân tối cao;</w:t>
            </w:r>
            <w:r>
              <w:rPr>
                <w:rFonts w:ascii="Times New Roman" w:eastAsia="Times New Roman" w:hAnsi="Times New Roman" w:cs="Times New Roman"/>
                <w:sz w:val="24"/>
                <w:szCs w:val="24"/>
              </w:rPr>
              <w:br/>
              <w:t xml:space="preserve">- </w:t>
            </w:r>
            <w:proofErr w:type="spellStart"/>
            <w:r>
              <w:rPr>
                <w:rFonts w:ascii="Times New Roman" w:eastAsia="Times New Roman" w:hAnsi="Times New Roman" w:cs="Times New Roman"/>
                <w:sz w:val="24"/>
                <w:szCs w:val="24"/>
              </w:rPr>
              <w:t>Tòa</w:t>
            </w:r>
            <w:proofErr w:type="spellEnd"/>
            <w:r>
              <w:rPr>
                <w:rFonts w:ascii="Times New Roman" w:eastAsia="Times New Roman" w:hAnsi="Times New Roman" w:cs="Times New Roman"/>
                <w:sz w:val="24"/>
                <w:szCs w:val="24"/>
              </w:rPr>
              <w:t xml:space="preserve"> án nhân dân tối cao;</w:t>
            </w:r>
            <w:r>
              <w:rPr>
                <w:rFonts w:ascii="Times New Roman" w:eastAsia="Times New Roman" w:hAnsi="Times New Roman" w:cs="Times New Roman"/>
                <w:sz w:val="24"/>
                <w:szCs w:val="24"/>
              </w:rPr>
              <w:br/>
              <w:t>- Kiểm toán Nhà nước;</w:t>
            </w:r>
            <w:r>
              <w:rPr>
                <w:rFonts w:ascii="Times New Roman" w:eastAsia="Times New Roman" w:hAnsi="Times New Roman" w:cs="Times New Roman"/>
                <w:sz w:val="24"/>
                <w:szCs w:val="24"/>
              </w:rPr>
              <w:br/>
              <w:t>- Bộ trưởng Bộ Công Thương;</w:t>
            </w:r>
            <w:r>
              <w:rPr>
                <w:rFonts w:ascii="Times New Roman" w:eastAsia="Times New Roman" w:hAnsi="Times New Roman" w:cs="Times New Roman"/>
                <w:sz w:val="24"/>
                <w:szCs w:val="24"/>
              </w:rPr>
              <w:br/>
              <w:t>- Các Thứ trưởng Bộ Công Thương;</w:t>
            </w:r>
            <w:r>
              <w:rPr>
                <w:rFonts w:ascii="Times New Roman" w:eastAsia="Times New Roman" w:hAnsi="Times New Roman" w:cs="Times New Roman"/>
                <w:sz w:val="24"/>
                <w:szCs w:val="24"/>
              </w:rPr>
              <w:br/>
              <w:t xml:space="preserve">- Cục Kiểm tra </w:t>
            </w:r>
            <w:proofErr w:type="spellStart"/>
            <w:r>
              <w:rPr>
                <w:rFonts w:ascii="Times New Roman" w:eastAsia="Times New Roman" w:hAnsi="Times New Roman" w:cs="Times New Roman"/>
                <w:sz w:val="24"/>
                <w:szCs w:val="24"/>
              </w:rPr>
              <w:t>VBQPPL</w:t>
            </w:r>
            <w:proofErr w:type="spellEnd"/>
            <w:r>
              <w:rPr>
                <w:rFonts w:ascii="Times New Roman" w:eastAsia="Times New Roman" w:hAnsi="Times New Roman" w:cs="Times New Roman"/>
                <w:sz w:val="24"/>
                <w:szCs w:val="24"/>
              </w:rPr>
              <w:t xml:space="preserve"> - Bộ Tư pháp;</w:t>
            </w:r>
            <w:r>
              <w:rPr>
                <w:rFonts w:ascii="Times New Roman" w:eastAsia="Times New Roman" w:hAnsi="Times New Roman" w:cs="Times New Roman"/>
                <w:sz w:val="24"/>
                <w:szCs w:val="24"/>
              </w:rPr>
              <w:br/>
              <w:t>- Tập đoàn Điện lực Việt Nam;</w:t>
            </w:r>
            <w:r>
              <w:rPr>
                <w:rFonts w:ascii="Times New Roman" w:eastAsia="Times New Roman" w:hAnsi="Times New Roman" w:cs="Times New Roman"/>
                <w:sz w:val="24"/>
                <w:szCs w:val="24"/>
              </w:rPr>
              <w:br/>
              <w:t>- Website: Chính phủ, Bộ Công Thương;</w:t>
            </w:r>
            <w:r>
              <w:rPr>
                <w:rFonts w:ascii="Times New Roman" w:eastAsia="Times New Roman" w:hAnsi="Times New Roman" w:cs="Times New Roman"/>
                <w:sz w:val="24"/>
                <w:szCs w:val="24"/>
              </w:rPr>
              <w:br/>
              <w:t>- Công báo;</w:t>
            </w:r>
            <w:r>
              <w:rPr>
                <w:rFonts w:ascii="Times New Roman" w:eastAsia="Times New Roman" w:hAnsi="Times New Roman" w:cs="Times New Roman"/>
                <w:sz w:val="24"/>
                <w:szCs w:val="24"/>
              </w:rPr>
              <w:br/>
              <w:t>- Website Chính phủ;</w:t>
            </w:r>
            <w:r>
              <w:rPr>
                <w:rFonts w:ascii="Times New Roman" w:eastAsia="Times New Roman" w:hAnsi="Times New Roman" w:cs="Times New Roman"/>
                <w:sz w:val="24"/>
                <w:szCs w:val="24"/>
              </w:rPr>
              <w:br/>
              <w:t>- Website B</w:t>
            </w:r>
            <w:r>
              <w:rPr>
                <w:rFonts w:ascii="Times New Roman" w:eastAsia="Times New Roman" w:hAnsi="Times New Roman" w:cs="Times New Roman"/>
                <w:sz w:val="24"/>
                <w:szCs w:val="24"/>
              </w:rPr>
              <w:t>ộ Công Thương;</w:t>
            </w:r>
            <w:r>
              <w:rPr>
                <w:rFonts w:ascii="Times New Roman" w:eastAsia="Times New Roman" w:hAnsi="Times New Roman" w:cs="Times New Roman"/>
                <w:sz w:val="24"/>
                <w:szCs w:val="24"/>
              </w:rPr>
              <w:br/>
              <w:t xml:space="preserve">- Lưu: VT, PC, </w:t>
            </w:r>
            <w:proofErr w:type="spellStart"/>
            <w:r>
              <w:rPr>
                <w:rFonts w:ascii="Times New Roman" w:eastAsia="Times New Roman" w:hAnsi="Times New Roman" w:cs="Times New Roman"/>
                <w:sz w:val="24"/>
                <w:szCs w:val="24"/>
              </w:rPr>
              <w:t>ĐTĐL</w:t>
            </w:r>
            <w:proofErr w:type="spellEnd"/>
            <w:r>
              <w:rPr>
                <w:rFonts w:ascii="Times New Roman" w:eastAsia="Times New Roman" w:hAnsi="Times New Roman" w:cs="Times New Roman"/>
                <w:sz w:val="24"/>
                <w:szCs w:val="24"/>
              </w:rPr>
              <w:t>.</w:t>
            </w:r>
          </w:p>
        </w:tc>
      </w:tr>
      <w:tr w:rsidR="005129BE">
        <w:trPr>
          <w:tblCellSpacing w:w="0" w:type="dxa"/>
        </w:trPr>
        <w:tc>
          <w:tcPr>
            <w:tcW w:w="5130" w:type="dxa"/>
          </w:tcPr>
          <w:p w:rsidR="005129BE" w:rsidRDefault="005129BE">
            <w:pPr>
              <w:spacing w:before="100" w:beforeAutospacing="1" w:after="100" w:afterAutospacing="1" w:line="240" w:lineRule="auto"/>
              <w:rPr>
                <w:rFonts w:ascii="Times New Roman" w:eastAsia="Times New Roman" w:hAnsi="Times New Roman" w:cs="Times New Roman"/>
                <w:b/>
                <w:bCs/>
                <w:i/>
                <w:iCs/>
                <w:sz w:val="24"/>
                <w:szCs w:val="24"/>
              </w:rPr>
            </w:pPr>
          </w:p>
        </w:tc>
      </w:tr>
    </w:tbl>
    <w:p w:rsidR="005129BE" w:rsidRDefault="005129BE"/>
    <w:p w:rsidR="005129BE" w:rsidRDefault="00E70927">
      <w:pPr>
        <w:tabs>
          <w:tab w:val="left" w:pos="1335"/>
        </w:tabs>
        <w:spacing w:after="0" w:line="240" w:lineRule="auto"/>
        <w:jc w:val="center"/>
        <w:rPr>
          <w:rFonts w:ascii="Times New Roman" w:hAnsi="Times New Roman" w:cs="Times New Roman"/>
          <w:b/>
        </w:rPr>
      </w:pPr>
      <w:proofErr w:type="spellStart"/>
      <w:r>
        <w:rPr>
          <w:rFonts w:ascii="Times New Roman" w:hAnsi="Times New Roman" w:cs="Times New Roman"/>
          <w:b/>
        </w:rPr>
        <w:t>KT</w:t>
      </w:r>
      <w:proofErr w:type="spellEnd"/>
      <w:r>
        <w:rPr>
          <w:rFonts w:ascii="Times New Roman" w:hAnsi="Times New Roman" w:cs="Times New Roman"/>
          <w:b/>
        </w:rPr>
        <w:t xml:space="preserve"> B</w:t>
      </w:r>
      <w:r>
        <w:rPr>
          <w:rFonts w:ascii="Times New Roman" w:hAnsi="Times New Roman" w:cs="Times New Roman"/>
          <w:b/>
        </w:rPr>
        <w:t>Ộ</w:t>
      </w:r>
      <w:r>
        <w:rPr>
          <w:rFonts w:ascii="Times New Roman" w:hAnsi="Times New Roman" w:cs="Times New Roman"/>
          <w:b/>
        </w:rPr>
        <w:t xml:space="preserve"> TRƯ</w:t>
      </w:r>
      <w:r>
        <w:rPr>
          <w:rFonts w:ascii="Times New Roman" w:hAnsi="Times New Roman" w:cs="Times New Roman"/>
          <w:b/>
        </w:rPr>
        <w:t>Ở</w:t>
      </w:r>
      <w:r>
        <w:rPr>
          <w:rFonts w:ascii="Times New Roman" w:hAnsi="Times New Roman" w:cs="Times New Roman"/>
          <w:b/>
        </w:rPr>
        <w:t>NG</w:t>
      </w:r>
    </w:p>
    <w:p w:rsidR="005129BE" w:rsidRDefault="00E70927">
      <w:pPr>
        <w:tabs>
          <w:tab w:val="left" w:pos="1335"/>
        </w:tabs>
        <w:spacing w:after="0" w:line="240" w:lineRule="auto"/>
        <w:jc w:val="center"/>
        <w:rPr>
          <w:rFonts w:ascii="Times New Roman" w:hAnsi="Times New Roman" w:cs="Times New Roman"/>
          <w:b/>
        </w:rPr>
      </w:pPr>
      <w:r>
        <w:rPr>
          <w:rFonts w:ascii="Times New Roman" w:hAnsi="Times New Roman" w:cs="Times New Roman"/>
          <w:b/>
        </w:rPr>
        <w:t>TH</w:t>
      </w:r>
      <w:r>
        <w:rPr>
          <w:rFonts w:ascii="Times New Roman" w:hAnsi="Times New Roman" w:cs="Times New Roman"/>
          <w:b/>
        </w:rPr>
        <w:t>Ứ</w:t>
      </w:r>
      <w:r>
        <w:rPr>
          <w:rFonts w:ascii="Times New Roman" w:hAnsi="Times New Roman" w:cs="Times New Roman"/>
          <w:b/>
        </w:rPr>
        <w:t xml:space="preserve"> TRƯ</w:t>
      </w:r>
      <w:r>
        <w:rPr>
          <w:rFonts w:ascii="Times New Roman" w:hAnsi="Times New Roman" w:cs="Times New Roman"/>
          <w:b/>
        </w:rPr>
        <w:t>Ở</w:t>
      </w:r>
      <w:r>
        <w:rPr>
          <w:rFonts w:ascii="Times New Roman" w:hAnsi="Times New Roman" w:cs="Times New Roman"/>
          <w:b/>
        </w:rPr>
        <w:t>NG</w:t>
      </w:r>
    </w:p>
    <w:p w:rsidR="005129BE" w:rsidRDefault="005129BE">
      <w:pPr>
        <w:tabs>
          <w:tab w:val="left" w:pos="1335"/>
        </w:tabs>
        <w:spacing w:after="0" w:line="240" w:lineRule="auto"/>
        <w:jc w:val="center"/>
        <w:rPr>
          <w:rFonts w:ascii="Times New Roman" w:hAnsi="Times New Roman" w:cs="Times New Roman"/>
          <w:b/>
        </w:rPr>
      </w:pPr>
    </w:p>
    <w:p w:rsidR="005129BE" w:rsidRDefault="005129BE">
      <w:pPr>
        <w:tabs>
          <w:tab w:val="left" w:pos="1335"/>
        </w:tabs>
        <w:spacing w:after="0" w:line="240" w:lineRule="auto"/>
        <w:jc w:val="center"/>
        <w:rPr>
          <w:rFonts w:ascii="Times New Roman" w:hAnsi="Times New Roman" w:cs="Times New Roman"/>
          <w:i/>
        </w:rPr>
      </w:pPr>
    </w:p>
    <w:p w:rsidR="005129BE" w:rsidRDefault="00E70927">
      <w:pPr>
        <w:tabs>
          <w:tab w:val="left" w:pos="1335"/>
        </w:tabs>
        <w:spacing w:after="0" w:line="240" w:lineRule="auto"/>
        <w:jc w:val="center"/>
        <w:rPr>
          <w:rFonts w:ascii="Times New Roman" w:hAnsi="Times New Roman" w:cs="Times New Roman"/>
          <w:i/>
        </w:rPr>
      </w:pPr>
      <w:r>
        <w:rPr>
          <w:rFonts w:ascii="Times New Roman" w:hAnsi="Times New Roman" w:cs="Times New Roman"/>
          <w:i/>
        </w:rPr>
        <w:t>(Đã ký)</w:t>
      </w:r>
    </w:p>
    <w:p w:rsidR="005129BE" w:rsidRDefault="005129BE">
      <w:pPr>
        <w:tabs>
          <w:tab w:val="left" w:pos="1335"/>
        </w:tabs>
        <w:spacing w:after="0" w:line="240" w:lineRule="auto"/>
        <w:jc w:val="center"/>
        <w:rPr>
          <w:rFonts w:ascii="Times New Roman" w:hAnsi="Times New Roman" w:cs="Times New Roman"/>
          <w:b/>
        </w:rPr>
      </w:pPr>
    </w:p>
    <w:p w:rsidR="005129BE" w:rsidRDefault="005129BE">
      <w:pPr>
        <w:tabs>
          <w:tab w:val="left" w:pos="1335"/>
        </w:tabs>
        <w:spacing w:after="0" w:line="240" w:lineRule="auto"/>
        <w:jc w:val="center"/>
        <w:rPr>
          <w:rFonts w:ascii="Times New Roman" w:hAnsi="Times New Roman" w:cs="Times New Roman"/>
          <w:b/>
        </w:rPr>
      </w:pPr>
    </w:p>
    <w:p w:rsidR="005129BE" w:rsidRDefault="00E70927">
      <w:pPr>
        <w:tabs>
          <w:tab w:val="left" w:pos="1335"/>
        </w:tabs>
        <w:spacing w:after="0" w:line="240" w:lineRule="auto"/>
        <w:jc w:val="center"/>
        <w:rPr>
          <w:rFonts w:ascii="Times New Roman" w:hAnsi="Times New Roman" w:cs="Times New Roman"/>
          <w:b/>
        </w:rPr>
      </w:pPr>
      <w:r>
        <w:rPr>
          <w:rFonts w:ascii="Times New Roman" w:hAnsi="Times New Roman" w:cs="Times New Roman"/>
          <w:b/>
        </w:rPr>
        <w:t>Hoàng Qu</w:t>
      </w:r>
      <w:r>
        <w:rPr>
          <w:rFonts w:ascii="Times New Roman" w:hAnsi="Times New Roman" w:cs="Times New Roman"/>
          <w:b/>
        </w:rPr>
        <w:t>ố</w:t>
      </w:r>
      <w:r>
        <w:rPr>
          <w:rFonts w:ascii="Times New Roman" w:hAnsi="Times New Roman" w:cs="Times New Roman"/>
          <w:b/>
        </w:rPr>
        <w:t>c Vư</w:t>
      </w:r>
      <w:r>
        <w:rPr>
          <w:rFonts w:ascii="Times New Roman" w:hAnsi="Times New Roman" w:cs="Times New Roman"/>
          <w:b/>
        </w:rPr>
        <w:t>ợ</w:t>
      </w:r>
      <w:r>
        <w:rPr>
          <w:rFonts w:ascii="Times New Roman" w:hAnsi="Times New Roman" w:cs="Times New Roman"/>
          <w:b/>
        </w:rPr>
        <w:t>ng</w:t>
      </w:r>
      <w:r>
        <w:rPr>
          <w:rFonts w:ascii="Times New Roman" w:hAnsi="Times New Roman" w:cs="Times New Roman"/>
          <w:b/>
        </w:rPr>
        <w:br w:type="textWrapping" w:clear="all"/>
      </w:r>
    </w:p>
    <w:sectPr w:rsidR="005129BE">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BE"/>
    <w:rsid w:val="005129BE"/>
    <w:rsid w:val="00E7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style>
  <w:style w:type="character" w:customStyle="1" w:styleId="vn5">
    <w:name w:val="vn_5"/>
    <w:basedOn w:val="DefaultParagraphFont"/>
  </w:style>
  <w:style w:type="character" w:styleId="Hyperlink">
    <w:name w:val="Hyperlink"/>
    <w:basedOn w:val="DefaultParagraphFont"/>
    <w:uiPriority w:val="99"/>
    <w:semiHidden/>
    <w:unhideWhenUsed/>
    <w:rPr>
      <w:color w:val="0000FF"/>
      <w:u w:val="single"/>
    </w:rPr>
  </w:style>
  <w:style w:type="character" w:customStyle="1" w:styleId="vn7">
    <w:name w:val="vn_7"/>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style>
  <w:style w:type="character" w:customStyle="1" w:styleId="vn5">
    <w:name w:val="vn_5"/>
    <w:basedOn w:val="DefaultParagraphFont"/>
  </w:style>
  <w:style w:type="character" w:styleId="Hyperlink">
    <w:name w:val="Hyperlink"/>
    <w:basedOn w:val="DefaultParagraphFont"/>
    <w:uiPriority w:val="99"/>
    <w:semiHidden/>
    <w:unhideWhenUsed/>
    <w:rPr>
      <w:color w:val="0000FF"/>
      <w:u w:val="single"/>
    </w:rPr>
  </w:style>
  <w:style w:type="character" w:customStyle="1" w:styleId="vn7">
    <w:name w:val="vn_7"/>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56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kyluat.vn/vb/thong-tu-25-2014-tt-bct-phuong-phap-xac-dinh-muc-chi-phi-ngung-cap-dien-tro-lai-3b4d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137-2013-nd-cp-huong-dan-luat-dien-luc-va-luat-dien-luc-sua-doi-335d5.html" TargetMode="External"/><Relationship Id="rId5" Type="http://schemas.openxmlformats.org/officeDocument/2006/relationships/hyperlink" Target="https://thukyluat.vn/vb/nghi-dinh-98-2017-nd-cp-chuc-nang-nhiem-vu-quyen-han-va-co-cau-to-chuc-bo-cong-thuong-57b0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manhbui</dc:creator>
  <cp:lastModifiedBy>admin</cp:lastModifiedBy>
  <cp:revision>2</cp:revision>
  <dcterms:created xsi:type="dcterms:W3CDTF">2020-10-13T03:23:00Z</dcterms:created>
  <dcterms:modified xsi:type="dcterms:W3CDTF">2020-10-13T03:23:00Z</dcterms:modified>
</cp:coreProperties>
</file>