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089"/>
        <w:gridCol w:w="6199"/>
      </w:tblGrid>
      <w:tr w:rsidR="00D3229E" w:rsidRPr="009B1CCE" w:rsidTr="00E6676B">
        <w:trPr>
          <w:trHeight w:val="761"/>
        </w:trPr>
        <w:tc>
          <w:tcPr>
            <w:tcW w:w="3089" w:type="dxa"/>
            <w:tcMar>
              <w:top w:w="0" w:type="dxa"/>
              <w:left w:w="108" w:type="dxa"/>
              <w:bottom w:w="0" w:type="dxa"/>
              <w:right w:w="108" w:type="dxa"/>
            </w:tcMar>
          </w:tcPr>
          <w:p w:rsidR="00D3229E" w:rsidRDefault="00990A92" w:rsidP="008A26A7">
            <w:pPr>
              <w:jc w:val="center"/>
              <w:rPr>
                <w:rFonts w:eastAsia="Times New Roman"/>
                <w:b/>
                <w:bCs/>
                <w:sz w:val="26"/>
                <w:szCs w:val="26"/>
                <w:lang w:val="en-US" w:eastAsia="vi-VN"/>
              </w:rPr>
            </w:pPr>
            <w:r>
              <w:rPr>
                <w:rFonts w:eastAsia="Times New Roman"/>
                <w:b/>
                <w:bCs/>
                <w:noProof/>
                <w:sz w:val="26"/>
                <w:szCs w:val="26"/>
                <w:lang w:val="en-US"/>
              </w:rPr>
              <mc:AlternateContent>
                <mc:Choice Requires="wps">
                  <w:drawing>
                    <wp:anchor distT="4294967294" distB="4294967294" distL="114300" distR="114300" simplePos="0" relativeHeight="251658752" behindDoc="0" locked="0" layoutInCell="1" allowOverlap="1">
                      <wp:simplePos x="0" y="0"/>
                      <wp:positionH relativeFrom="column">
                        <wp:posOffset>620395</wp:posOffset>
                      </wp:positionH>
                      <wp:positionV relativeFrom="paragraph">
                        <wp:posOffset>403224</wp:posOffset>
                      </wp:positionV>
                      <wp:extent cx="554355" cy="0"/>
                      <wp:effectExtent l="0" t="0" r="36195"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02BED7" id="Line 10"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85pt,31.75pt" to="92.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"/>
                  </w:pict>
                </mc:Fallback>
              </mc:AlternateContent>
            </w:r>
            <w:r w:rsidR="00D3229E" w:rsidRPr="009B1CCE">
              <w:rPr>
                <w:rFonts w:eastAsia="Times New Roman"/>
                <w:b/>
                <w:bCs/>
                <w:sz w:val="26"/>
                <w:szCs w:val="26"/>
                <w:lang w:eastAsia="vi-VN"/>
              </w:rPr>
              <w:t>ỦY BAN NHÂN DÂN</w:t>
            </w:r>
            <w:r w:rsidR="00D3229E" w:rsidRPr="009B1CCE">
              <w:rPr>
                <w:rFonts w:eastAsia="Times New Roman"/>
                <w:b/>
                <w:bCs/>
                <w:sz w:val="26"/>
                <w:szCs w:val="26"/>
                <w:lang w:eastAsia="vi-VN"/>
              </w:rPr>
              <w:br/>
              <w:t xml:space="preserve">TỈNH </w:t>
            </w:r>
            <w:r w:rsidR="008A26A7">
              <w:rPr>
                <w:rFonts w:eastAsia="Times New Roman"/>
                <w:b/>
                <w:bCs/>
                <w:sz w:val="26"/>
                <w:szCs w:val="26"/>
                <w:lang w:val="en-US" w:eastAsia="vi-VN"/>
              </w:rPr>
              <w:t>HÀ TĨNH</w:t>
            </w:r>
          </w:p>
          <w:p w:rsidR="00E6676B" w:rsidRPr="009B1CCE" w:rsidRDefault="00E6676B" w:rsidP="00D12972">
            <w:pPr>
              <w:spacing w:before="240"/>
              <w:jc w:val="center"/>
              <w:rPr>
                <w:rFonts w:eastAsia="Times New Roman"/>
                <w:sz w:val="26"/>
                <w:szCs w:val="26"/>
                <w:lang w:val="en-US" w:eastAsia="vi-VN"/>
              </w:rPr>
            </w:pPr>
            <w:r w:rsidRPr="009B1CCE">
              <w:rPr>
                <w:rFonts w:eastAsia="Times New Roman"/>
                <w:sz w:val="26"/>
                <w:szCs w:val="26"/>
                <w:lang w:eastAsia="vi-VN"/>
              </w:rPr>
              <w:t>Số:</w:t>
            </w:r>
            <w:r>
              <w:rPr>
                <w:rFonts w:eastAsia="Times New Roman"/>
                <w:sz w:val="26"/>
                <w:szCs w:val="26"/>
                <w:lang w:val="en-US" w:eastAsia="vi-VN"/>
              </w:rPr>
              <w:t xml:space="preserve">  </w:t>
            </w:r>
            <w:r w:rsidR="00D12972">
              <w:rPr>
                <w:rFonts w:eastAsia="Times New Roman"/>
                <w:sz w:val="26"/>
                <w:szCs w:val="26"/>
                <w:lang w:val="en-US" w:eastAsia="vi-VN"/>
              </w:rPr>
              <w:t>4197</w:t>
            </w:r>
            <w:r w:rsidRPr="009B1CCE">
              <w:rPr>
                <w:rFonts w:eastAsia="Times New Roman"/>
                <w:sz w:val="26"/>
                <w:szCs w:val="26"/>
                <w:lang w:eastAsia="vi-VN"/>
              </w:rPr>
              <w:t xml:space="preserve"> </w:t>
            </w:r>
            <w:r w:rsidRPr="009B1CCE">
              <w:rPr>
                <w:rFonts w:eastAsia="Times New Roman"/>
                <w:sz w:val="26"/>
                <w:szCs w:val="26"/>
                <w:lang w:val="en-US" w:eastAsia="vi-VN"/>
              </w:rPr>
              <w:t>/</w:t>
            </w:r>
            <w:r w:rsidRPr="009B1CCE">
              <w:rPr>
                <w:rFonts w:eastAsia="Times New Roman"/>
                <w:sz w:val="26"/>
                <w:szCs w:val="26"/>
                <w:lang w:eastAsia="vi-VN"/>
              </w:rPr>
              <w:t>QĐ-UBND</w:t>
            </w:r>
          </w:p>
        </w:tc>
        <w:tc>
          <w:tcPr>
            <w:tcW w:w="6199" w:type="dxa"/>
            <w:tcMar>
              <w:top w:w="0" w:type="dxa"/>
              <w:left w:w="108" w:type="dxa"/>
              <w:bottom w:w="0" w:type="dxa"/>
              <w:right w:w="108" w:type="dxa"/>
            </w:tcMar>
          </w:tcPr>
          <w:p w:rsidR="00D3229E" w:rsidRDefault="00990A92" w:rsidP="00074ECA">
            <w:pPr>
              <w:jc w:val="center"/>
              <w:rPr>
                <w:rFonts w:eastAsia="Times New Roman"/>
                <w:b/>
                <w:bCs/>
                <w:szCs w:val="28"/>
                <w:lang w:eastAsia="vi-VN"/>
              </w:rPr>
            </w:pPr>
            <w:r>
              <w:rPr>
                <w:rFonts w:eastAsia="Times New Roman"/>
                <w:b/>
                <w:bCs/>
                <w:noProof/>
                <w:sz w:val="26"/>
                <w:szCs w:val="26"/>
                <w:lang w:val="en-US"/>
              </w:rPr>
              <mc:AlternateContent>
                <mc:Choice Requires="wps">
                  <w:drawing>
                    <wp:anchor distT="4294967294" distB="4294967294" distL="114300" distR="114300" simplePos="0" relativeHeight="251657728" behindDoc="0" locked="0" layoutInCell="1" allowOverlap="1">
                      <wp:simplePos x="0" y="0"/>
                      <wp:positionH relativeFrom="column">
                        <wp:posOffset>817245</wp:posOffset>
                      </wp:positionH>
                      <wp:positionV relativeFrom="paragraph">
                        <wp:posOffset>407669</wp:posOffset>
                      </wp:positionV>
                      <wp:extent cx="2151380" cy="0"/>
                      <wp:effectExtent l="0" t="0" r="2032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13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802542" id="Line 9"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35pt,32.1pt" to="233.7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"/>
                  </w:pict>
                </mc:Fallback>
              </mc:AlternateContent>
            </w:r>
            <w:r w:rsidR="00D3229E" w:rsidRPr="009B1CCE">
              <w:rPr>
                <w:rFonts w:eastAsia="Times New Roman"/>
                <w:b/>
                <w:bCs/>
                <w:sz w:val="26"/>
                <w:szCs w:val="26"/>
                <w:lang w:eastAsia="vi-VN"/>
              </w:rPr>
              <w:t>CỘNG HÒA XÃ HỘI CHỦ NGHĨA VIỆT NAM</w:t>
            </w:r>
            <w:r w:rsidR="00D3229E" w:rsidRPr="009B1CCE">
              <w:rPr>
                <w:rFonts w:eastAsia="Times New Roman"/>
                <w:b/>
                <w:bCs/>
                <w:sz w:val="26"/>
                <w:szCs w:val="26"/>
                <w:lang w:eastAsia="vi-VN"/>
              </w:rPr>
              <w:br/>
            </w:r>
            <w:r w:rsidR="00D3229E" w:rsidRPr="009B1CCE">
              <w:rPr>
                <w:rFonts w:eastAsia="Times New Roman"/>
                <w:b/>
                <w:bCs/>
                <w:szCs w:val="28"/>
                <w:lang w:eastAsia="vi-VN"/>
              </w:rPr>
              <w:t>Độc lập - Tự do - Hạnh phúc</w:t>
            </w:r>
          </w:p>
          <w:p w:rsidR="00E6676B" w:rsidRPr="009B1CCE" w:rsidRDefault="00E6676B" w:rsidP="00D12972">
            <w:pPr>
              <w:spacing w:before="240"/>
              <w:jc w:val="center"/>
              <w:rPr>
                <w:rFonts w:eastAsia="Times New Roman"/>
                <w:sz w:val="26"/>
                <w:szCs w:val="26"/>
                <w:lang w:val="en-US" w:eastAsia="vi-VN"/>
              </w:rPr>
            </w:pPr>
            <w:r w:rsidRPr="00624F2B">
              <w:rPr>
                <w:rFonts w:eastAsia="Times New Roman"/>
                <w:i/>
                <w:iCs/>
                <w:szCs w:val="28"/>
                <w:lang w:val="en-US" w:eastAsia="vi-VN"/>
              </w:rPr>
              <w:t>Hà Tĩnh</w:t>
            </w:r>
            <w:r w:rsidRPr="00624F2B">
              <w:rPr>
                <w:rFonts w:eastAsia="Times New Roman"/>
                <w:i/>
                <w:iCs/>
                <w:szCs w:val="28"/>
                <w:lang w:eastAsia="vi-VN"/>
              </w:rPr>
              <w:t xml:space="preserve">, ngày </w:t>
            </w:r>
            <w:r w:rsidR="00D12972">
              <w:rPr>
                <w:rFonts w:eastAsia="Times New Roman"/>
                <w:i/>
                <w:iCs/>
                <w:szCs w:val="28"/>
                <w:lang w:val="en-US" w:eastAsia="vi-VN"/>
              </w:rPr>
              <w:t>08</w:t>
            </w:r>
            <w:r>
              <w:rPr>
                <w:rFonts w:eastAsia="Times New Roman"/>
                <w:i/>
                <w:iCs/>
                <w:szCs w:val="28"/>
                <w:lang w:val="en-US" w:eastAsia="vi-VN"/>
              </w:rPr>
              <w:t xml:space="preserve"> </w:t>
            </w:r>
            <w:r w:rsidRPr="00624F2B">
              <w:rPr>
                <w:rFonts w:eastAsia="Times New Roman"/>
                <w:i/>
                <w:iCs/>
                <w:szCs w:val="28"/>
                <w:lang w:eastAsia="vi-VN"/>
              </w:rPr>
              <w:t>tháng</w:t>
            </w:r>
            <w:r>
              <w:rPr>
                <w:rFonts w:eastAsia="Times New Roman"/>
                <w:i/>
                <w:iCs/>
                <w:szCs w:val="28"/>
                <w:lang w:val="en-US" w:eastAsia="vi-VN"/>
              </w:rPr>
              <w:t xml:space="preserve"> 1</w:t>
            </w:r>
            <w:r w:rsidR="00D12972">
              <w:rPr>
                <w:rFonts w:eastAsia="Times New Roman"/>
                <w:i/>
                <w:iCs/>
                <w:szCs w:val="28"/>
                <w:lang w:val="en-US" w:eastAsia="vi-VN"/>
              </w:rPr>
              <w:t>2</w:t>
            </w:r>
            <w:r>
              <w:rPr>
                <w:rFonts w:eastAsia="Times New Roman"/>
                <w:i/>
                <w:iCs/>
                <w:szCs w:val="28"/>
                <w:lang w:val="en-US" w:eastAsia="vi-VN"/>
              </w:rPr>
              <w:t xml:space="preserve"> </w:t>
            </w:r>
            <w:r w:rsidRPr="00624F2B">
              <w:rPr>
                <w:rFonts w:eastAsia="Times New Roman"/>
                <w:i/>
                <w:iCs/>
                <w:szCs w:val="28"/>
                <w:lang w:eastAsia="vi-VN"/>
              </w:rPr>
              <w:t>năm 20</w:t>
            </w:r>
            <w:r w:rsidRPr="00624F2B">
              <w:rPr>
                <w:rFonts w:eastAsia="Times New Roman"/>
                <w:i/>
                <w:iCs/>
                <w:szCs w:val="28"/>
                <w:lang w:val="en-US" w:eastAsia="vi-VN"/>
              </w:rPr>
              <w:t>20</w:t>
            </w:r>
          </w:p>
        </w:tc>
      </w:tr>
    </w:tbl>
    <w:p w:rsidR="00D3229E" w:rsidRPr="001B63B9" w:rsidRDefault="00D3229E" w:rsidP="00E6676B">
      <w:pPr>
        <w:spacing w:before="240"/>
        <w:jc w:val="center"/>
        <w:rPr>
          <w:rFonts w:eastAsia="Times New Roman"/>
          <w:szCs w:val="28"/>
          <w:lang w:eastAsia="vi-VN"/>
        </w:rPr>
      </w:pPr>
      <w:r w:rsidRPr="001B63B9">
        <w:rPr>
          <w:rFonts w:eastAsia="Times New Roman"/>
          <w:b/>
          <w:bCs/>
          <w:szCs w:val="28"/>
          <w:lang w:eastAsia="vi-VN"/>
        </w:rPr>
        <w:t>QUYẾT ĐỊNH</w:t>
      </w:r>
    </w:p>
    <w:p w:rsidR="00E6676B" w:rsidRDefault="009B1CCE" w:rsidP="00ED6140">
      <w:pPr>
        <w:spacing w:before="20"/>
        <w:jc w:val="center"/>
        <w:rPr>
          <w:rFonts w:eastAsia="Times New Roman"/>
          <w:b/>
          <w:bCs/>
          <w:szCs w:val="28"/>
          <w:lang w:eastAsia="vi-VN"/>
        </w:rPr>
      </w:pPr>
      <w:r w:rsidRPr="00ED6140">
        <w:rPr>
          <w:rFonts w:eastAsia="Times New Roman"/>
          <w:b/>
          <w:bCs/>
          <w:szCs w:val="28"/>
          <w:lang w:eastAsia="vi-VN"/>
        </w:rPr>
        <w:t>V</w:t>
      </w:r>
      <w:r w:rsidR="00E6676B">
        <w:rPr>
          <w:rFonts w:eastAsia="Times New Roman"/>
          <w:b/>
          <w:bCs/>
          <w:szCs w:val="28"/>
          <w:lang w:val="en-US" w:eastAsia="vi-VN"/>
        </w:rPr>
        <w:t>ề việc</w:t>
      </w:r>
      <w:r w:rsidRPr="00ED6140">
        <w:rPr>
          <w:rFonts w:eastAsia="Times New Roman"/>
          <w:b/>
          <w:bCs/>
          <w:szCs w:val="28"/>
          <w:lang w:eastAsia="vi-VN"/>
        </w:rPr>
        <w:t xml:space="preserve"> p</w:t>
      </w:r>
      <w:r w:rsidR="00460004" w:rsidRPr="00ED6140">
        <w:rPr>
          <w:rFonts w:eastAsia="Times New Roman"/>
          <w:b/>
          <w:bCs/>
          <w:szCs w:val="28"/>
          <w:lang w:eastAsia="vi-VN"/>
        </w:rPr>
        <w:t>hê duyệt Chương trình khuyến công</w:t>
      </w:r>
      <w:r w:rsidR="00ED6140" w:rsidRPr="00ED6140">
        <w:rPr>
          <w:rFonts w:eastAsia="Times New Roman"/>
          <w:b/>
          <w:bCs/>
          <w:szCs w:val="28"/>
          <w:lang w:eastAsia="vi-VN"/>
        </w:rPr>
        <w:t xml:space="preserve"> địa phương</w:t>
      </w:r>
    </w:p>
    <w:p w:rsidR="00460004" w:rsidRPr="00E00D44" w:rsidRDefault="00EF3367" w:rsidP="00ED6140">
      <w:pPr>
        <w:spacing w:before="20"/>
        <w:jc w:val="center"/>
        <w:rPr>
          <w:rFonts w:eastAsia="Times New Roman"/>
          <w:b/>
          <w:bCs/>
          <w:szCs w:val="28"/>
          <w:lang w:eastAsia="vi-VN"/>
        </w:rPr>
      </w:pPr>
      <w:r w:rsidRPr="00E00D44">
        <w:rPr>
          <w:rFonts w:eastAsia="Times New Roman"/>
          <w:b/>
          <w:bCs/>
          <w:szCs w:val="28"/>
          <w:lang w:eastAsia="vi-VN"/>
        </w:rPr>
        <w:t>giai đoạn 2021-</w:t>
      </w:r>
      <w:r w:rsidR="00ED6140" w:rsidRPr="00ED6140">
        <w:rPr>
          <w:rFonts w:eastAsia="Times New Roman"/>
          <w:b/>
          <w:bCs/>
          <w:szCs w:val="28"/>
          <w:lang w:eastAsia="vi-VN"/>
        </w:rPr>
        <w:t>2025</w:t>
      </w:r>
    </w:p>
    <w:p w:rsidR="00D3229E" w:rsidRPr="00E00D44" w:rsidRDefault="00990A92" w:rsidP="00E6676B">
      <w:pPr>
        <w:spacing w:before="360" w:after="360"/>
        <w:jc w:val="center"/>
        <w:rPr>
          <w:rFonts w:eastAsia="Times New Roman"/>
          <w:b/>
          <w:bCs/>
          <w:szCs w:val="28"/>
          <w:lang w:eastAsia="vi-VN"/>
        </w:rPr>
      </w:pPr>
      <w:r>
        <w:rPr>
          <w:rFonts w:eastAsia="Times New Roman"/>
          <w:b/>
          <w:bCs/>
          <w:noProof/>
          <w:szCs w:val="28"/>
          <w:lang w:val="en-US"/>
        </w:rPr>
        <mc:AlternateContent>
          <mc:Choice Requires="wps">
            <w:drawing>
              <wp:anchor distT="4294967294" distB="4294967294" distL="114300" distR="114300" simplePos="0" relativeHeight="251656704" behindDoc="0" locked="0" layoutInCell="1" allowOverlap="1">
                <wp:simplePos x="0" y="0"/>
                <wp:positionH relativeFrom="column">
                  <wp:posOffset>2405380</wp:posOffset>
                </wp:positionH>
                <wp:positionV relativeFrom="paragraph">
                  <wp:posOffset>20319</wp:posOffset>
                </wp:positionV>
                <wp:extent cx="97155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067815F" id="_x0000_t32" coordsize="21600,21600" o:spt="32" o:oned="t" path="m,l21600,21600e" filled="f">
                <v:path arrowok="t" fillok="f" o:connecttype="none"/>
                <o:lock v:ext="edit" shapetype="t"/>
              </v:shapetype>
              <v:shape id="AutoShape 4" o:spid="_x0000_s1026" type="#_x0000_t32" style="position:absolute;margin-left:189.4pt;margin-top:1.6pt;width:76.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"/>
            </w:pict>
          </mc:Fallback>
        </mc:AlternateContent>
      </w:r>
      <w:r w:rsidR="00D3229E" w:rsidRPr="001B63B9">
        <w:rPr>
          <w:rFonts w:eastAsia="Times New Roman"/>
          <w:b/>
          <w:bCs/>
          <w:szCs w:val="28"/>
          <w:lang w:eastAsia="vi-VN"/>
        </w:rPr>
        <w:t>ỦY BAN NHÂN DÂN TỈNH</w:t>
      </w:r>
    </w:p>
    <w:p w:rsidR="00D3229E" w:rsidRPr="0024581E" w:rsidRDefault="00E6676B" w:rsidP="00E6676B">
      <w:pPr>
        <w:spacing w:after="120"/>
        <w:ind w:firstLine="624"/>
        <w:jc w:val="both"/>
        <w:rPr>
          <w:rFonts w:eastAsia="Times New Roman"/>
          <w:i/>
          <w:iCs/>
          <w:szCs w:val="28"/>
          <w:lang w:val="en-US" w:eastAsia="vi-VN"/>
        </w:rPr>
      </w:pPr>
      <w:r w:rsidRPr="0024581E">
        <w:rPr>
          <w:rFonts w:eastAsia="Times New Roman"/>
          <w:i/>
          <w:iCs/>
          <w:szCs w:val="28"/>
          <w:lang w:val="en-US" w:eastAsia="vi-VN"/>
        </w:rPr>
        <w:t>C</w:t>
      </w:r>
      <w:r w:rsidR="00D3229E" w:rsidRPr="0024581E">
        <w:rPr>
          <w:rFonts w:eastAsia="Times New Roman"/>
          <w:i/>
          <w:iCs/>
          <w:szCs w:val="28"/>
          <w:lang w:eastAsia="vi-VN"/>
        </w:rPr>
        <w:t xml:space="preserve">ăn cứ Luật Tổ chức </w:t>
      </w:r>
      <w:r w:rsidR="00B92DC6" w:rsidRPr="0024581E">
        <w:rPr>
          <w:rFonts w:eastAsia="Times New Roman"/>
          <w:i/>
          <w:iCs/>
          <w:szCs w:val="28"/>
          <w:lang w:val="en-US" w:eastAsia="vi-VN"/>
        </w:rPr>
        <w:t>C</w:t>
      </w:r>
      <w:r w:rsidR="00947F50" w:rsidRPr="0024581E">
        <w:rPr>
          <w:rFonts w:eastAsia="Times New Roman"/>
          <w:i/>
          <w:iCs/>
          <w:szCs w:val="28"/>
          <w:lang w:eastAsia="vi-VN"/>
        </w:rPr>
        <w:t>hính quyền địa</w:t>
      </w:r>
      <w:r w:rsidR="009B1CCE" w:rsidRPr="0024581E">
        <w:rPr>
          <w:rFonts w:eastAsia="Times New Roman"/>
          <w:i/>
          <w:iCs/>
          <w:szCs w:val="28"/>
          <w:lang w:eastAsia="vi-VN"/>
        </w:rPr>
        <w:t xml:space="preserve"> phương ngày</w:t>
      </w:r>
      <w:r w:rsidR="00470867" w:rsidRPr="0024581E">
        <w:rPr>
          <w:rFonts w:eastAsia="Times New Roman"/>
          <w:i/>
          <w:iCs/>
          <w:szCs w:val="28"/>
          <w:lang w:val="en-US" w:eastAsia="vi-VN"/>
        </w:rPr>
        <w:t xml:space="preserve"> </w:t>
      </w:r>
      <w:r w:rsidR="009B1CCE" w:rsidRPr="0024581E">
        <w:rPr>
          <w:rFonts w:eastAsia="Times New Roman"/>
          <w:i/>
          <w:iCs/>
          <w:szCs w:val="28"/>
          <w:lang w:eastAsia="vi-VN"/>
        </w:rPr>
        <w:t>19/6/2015</w:t>
      </w:r>
      <w:r w:rsidR="00D3229E" w:rsidRPr="0024581E">
        <w:rPr>
          <w:rFonts w:eastAsia="Times New Roman"/>
          <w:i/>
          <w:iCs/>
          <w:szCs w:val="28"/>
          <w:lang w:eastAsia="vi-VN"/>
        </w:rPr>
        <w:t>;</w:t>
      </w:r>
      <w:r w:rsidR="00D27B8E" w:rsidRPr="0024581E">
        <w:rPr>
          <w:rFonts w:eastAsia="Times New Roman"/>
          <w:i/>
          <w:iCs/>
          <w:szCs w:val="28"/>
          <w:lang w:eastAsia="vi-VN"/>
        </w:rPr>
        <w:t xml:space="preserve"> </w:t>
      </w:r>
      <w:r w:rsidR="00D27B8E" w:rsidRPr="0024581E">
        <w:rPr>
          <w:rFonts w:eastAsia="Times New Roman"/>
          <w:i/>
          <w:iCs/>
          <w:lang w:eastAsia="vi-VN"/>
        </w:rPr>
        <w:t>Luật Sửa đổi, bổ sung một số điều của</w:t>
      </w:r>
      <w:r w:rsidR="00D27B8E" w:rsidRPr="0024581E">
        <w:rPr>
          <w:rFonts w:eastAsia="Times New Roman"/>
          <w:i/>
          <w:iCs/>
          <w:lang w:val="en-US" w:eastAsia="vi-VN"/>
        </w:rPr>
        <w:t xml:space="preserve"> </w:t>
      </w:r>
      <w:r w:rsidR="00D27B8E" w:rsidRPr="0024581E">
        <w:rPr>
          <w:rFonts w:eastAsia="Times New Roman"/>
          <w:i/>
          <w:iCs/>
          <w:lang w:eastAsia="vi-VN"/>
        </w:rPr>
        <w:t>Luật Tổ chức Chính phủ và Luật Tổ chức chính</w:t>
      </w:r>
      <w:r w:rsidR="00D27B8E" w:rsidRPr="0024581E">
        <w:rPr>
          <w:rFonts w:eastAsia="Times New Roman"/>
          <w:i/>
          <w:iCs/>
          <w:lang w:val="en-US" w:eastAsia="vi-VN"/>
        </w:rPr>
        <w:t xml:space="preserve"> </w:t>
      </w:r>
      <w:r w:rsidR="00D27B8E" w:rsidRPr="0024581E">
        <w:rPr>
          <w:rFonts w:eastAsia="Times New Roman"/>
          <w:i/>
          <w:iCs/>
          <w:lang w:eastAsia="vi-VN"/>
        </w:rPr>
        <w:t>quyền địa phương ngày</w:t>
      </w:r>
      <w:r w:rsidR="00D27B8E" w:rsidRPr="0024581E">
        <w:rPr>
          <w:rFonts w:eastAsia="Times New Roman"/>
          <w:i/>
          <w:iCs/>
          <w:lang w:val="en-US" w:eastAsia="vi-VN"/>
        </w:rPr>
        <w:t xml:space="preserve"> </w:t>
      </w:r>
      <w:r w:rsidR="00D27B8E" w:rsidRPr="0024581E">
        <w:rPr>
          <w:rFonts w:eastAsia="Times New Roman"/>
          <w:i/>
          <w:iCs/>
          <w:lang w:eastAsia="vi-VN"/>
        </w:rPr>
        <w:t>22/11/2019</w:t>
      </w:r>
      <w:r w:rsidR="00B92DC6" w:rsidRPr="0024581E">
        <w:rPr>
          <w:rFonts w:eastAsia="Times New Roman"/>
          <w:i/>
          <w:iCs/>
          <w:szCs w:val="28"/>
          <w:lang w:val="en-US" w:eastAsia="vi-VN"/>
        </w:rPr>
        <w:t>;</w:t>
      </w:r>
    </w:p>
    <w:p w:rsidR="0016270E" w:rsidRPr="0024581E" w:rsidRDefault="0016270E" w:rsidP="00E6676B">
      <w:pPr>
        <w:spacing w:after="120"/>
        <w:ind w:firstLine="624"/>
        <w:jc w:val="both"/>
        <w:rPr>
          <w:rFonts w:eastAsia="Times New Roman"/>
          <w:i/>
          <w:iCs/>
          <w:szCs w:val="28"/>
          <w:lang w:eastAsia="vi-VN"/>
        </w:rPr>
      </w:pPr>
      <w:r w:rsidRPr="0024581E">
        <w:rPr>
          <w:rFonts w:eastAsia="Times New Roman"/>
          <w:i/>
          <w:iCs/>
          <w:szCs w:val="28"/>
          <w:lang w:eastAsia="vi-VN"/>
        </w:rPr>
        <w:t>Căn cứ Nghị định số 45/2012/NĐ-CP ngày 21/5/2012 của Chính phủ về khuyến công;</w:t>
      </w:r>
    </w:p>
    <w:p w:rsidR="009B1CCE" w:rsidRPr="0024581E" w:rsidRDefault="009B1CCE" w:rsidP="00E6676B">
      <w:pPr>
        <w:pStyle w:val="NormalWeb"/>
        <w:shd w:val="clear" w:color="auto" w:fill="FFFFFF"/>
        <w:spacing w:before="0" w:beforeAutospacing="0" w:after="120" w:afterAutospacing="0"/>
        <w:ind w:firstLine="624"/>
        <w:jc w:val="both"/>
        <w:rPr>
          <w:i/>
          <w:sz w:val="28"/>
          <w:szCs w:val="28"/>
          <w:lang w:val="vi-VN"/>
        </w:rPr>
      </w:pPr>
      <w:r w:rsidRPr="0024581E">
        <w:rPr>
          <w:i/>
          <w:sz w:val="28"/>
          <w:szCs w:val="28"/>
          <w:lang w:val="vi-VN"/>
        </w:rPr>
        <w:t>Căn cứ Thông tư số 46/2012/TT-BCT ngày 28/12/2012</w:t>
      </w:r>
      <w:r w:rsidR="00470867" w:rsidRPr="0024581E">
        <w:rPr>
          <w:i/>
          <w:sz w:val="28"/>
          <w:szCs w:val="28"/>
        </w:rPr>
        <w:t xml:space="preserve">; </w:t>
      </w:r>
      <w:r w:rsidR="002971E1" w:rsidRPr="0024581E">
        <w:rPr>
          <w:i/>
          <w:sz w:val="28"/>
          <w:szCs w:val="28"/>
        </w:rPr>
        <w:t>T</w:t>
      </w:r>
      <w:r w:rsidR="00470867" w:rsidRPr="0024581E">
        <w:rPr>
          <w:i/>
          <w:sz w:val="28"/>
          <w:szCs w:val="28"/>
          <w:lang w:val="vi-VN"/>
        </w:rPr>
        <w:t>hông tư số 20/2017/TT-BCT ngày 29/9/2017 của Bộ trưởng Bộ Công Thương sửa đổi, bổ sung một số điều của Thông tư số 46/2012/TT-BCT</w:t>
      </w:r>
      <w:r w:rsidRPr="0024581E">
        <w:rPr>
          <w:i/>
          <w:sz w:val="28"/>
          <w:szCs w:val="28"/>
          <w:lang w:val="vi-VN"/>
        </w:rPr>
        <w:t xml:space="preserve"> của Bộ trưởng Bộ Công Thương quy định chi tiết một số nội dung của Nghị định số 45/2012/NĐ-CP ngày 21/5/2012 của Chính phủ về khuyến công;</w:t>
      </w:r>
    </w:p>
    <w:p w:rsidR="009B1CCE" w:rsidRPr="0024581E" w:rsidRDefault="009B1CCE" w:rsidP="00E6676B">
      <w:pPr>
        <w:pStyle w:val="NormalWeb"/>
        <w:shd w:val="clear" w:color="auto" w:fill="FFFFFF"/>
        <w:spacing w:before="0" w:beforeAutospacing="0" w:after="120" w:afterAutospacing="0"/>
        <w:ind w:firstLine="624"/>
        <w:jc w:val="both"/>
        <w:rPr>
          <w:i/>
          <w:sz w:val="28"/>
          <w:szCs w:val="28"/>
        </w:rPr>
      </w:pPr>
      <w:r w:rsidRPr="0024581E">
        <w:rPr>
          <w:i/>
          <w:sz w:val="28"/>
          <w:szCs w:val="28"/>
          <w:lang w:val="vi-VN"/>
        </w:rPr>
        <w:t>Căn cứ Thông tư số 28/2018/TT-BTC ngày 28</w:t>
      </w:r>
      <w:r w:rsidR="002971E1" w:rsidRPr="0024581E">
        <w:rPr>
          <w:i/>
          <w:sz w:val="28"/>
          <w:szCs w:val="28"/>
        </w:rPr>
        <w:t>/03/</w:t>
      </w:r>
      <w:r w:rsidRPr="0024581E">
        <w:rPr>
          <w:i/>
          <w:sz w:val="28"/>
          <w:szCs w:val="28"/>
          <w:lang w:val="vi-VN"/>
        </w:rPr>
        <w:t>2018 của Bộ trưởng Bộ Tài chính hướng dẫn lập, quản lý, sử dụng kinh ph</w:t>
      </w:r>
      <w:r w:rsidR="00D63A53" w:rsidRPr="0024581E">
        <w:rPr>
          <w:i/>
          <w:sz w:val="28"/>
          <w:szCs w:val="28"/>
          <w:lang w:val="vi-VN"/>
        </w:rPr>
        <w:t>í khuyến công</w:t>
      </w:r>
      <w:r w:rsidR="00D63A53" w:rsidRPr="0024581E">
        <w:rPr>
          <w:i/>
          <w:sz w:val="28"/>
          <w:szCs w:val="28"/>
        </w:rPr>
        <w:t>;</w:t>
      </w:r>
    </w:p>
    <w:p w:rsidR="00D63A53" w:rsidRPr="0024581E" w:rsidRDefault="00D63A53" w:rsidP="00E6676B">
      <w:pPr>
        <w:spacing w:after="120"/>
        <w:ind w:firstLine="624"/>
        <w:jc w:val="both"/>
        <w:rPr>
          <w:i/>
          <w:lang w:val="en-US"/>
        </w:rPr>
      </w:pPr>
      <w:r w:rsidRPr="0024581E">
        <w:rPr>
          <w:i/>
          <w:lang w:val="en-US"/>
        </w:rPr>
        <w:t>Căn cứ Quyết định số 1881/QĐ-TTg ngày 20/11/2020 của Thủ tướng Chính phủ về phê duyệt chương trình khuyến công quốc gia giai đoạn 2021-2025;</w:t>
      </w:r>
    </w:p>
    <w:p w:rsidR="00311299" w:rsidRDefault="006E0286" w:rsidP="00E6676B">
      <w:pPr>
        <w:spacing w:after="120"/>
        <w:ind w:firstLine="624"/>
        <w:jc w:val="both"/>
        <w:rPr>
          <w:i/>
          <w:color w:val="000000" w:themeColor="text1"/>
          <w:lang w:val="en-US"/>
        </w:rPr>
      </w:pPr>
      <w:r w:rsidRPr="00FF4382">
        <w:rPr>
          <w:i/>
          <w:color w:val="000000" w:themeColor="text1"/>
        </w:rPr>
        <w:t xml:space="preserve"> Căn cứ Nghị quyết số 86/2018/NQ-HĐND, ngày 18/7/2018 của Hội đồng nhân dân tỉnh Hà Tĩnh </w:t>
      </w:r>
      <w:r w:rsidR="00FF4382" w:rsidRPr="00E00D44">
        <w:rPr>
          <w:i/>
          <w:color w:val="000000" w:themeColor="text1"/>
        </w:rPr>
        <w:t xml:space="preserve">và các văn bản hướng dẫn </w:t>
      </w:r>
      <w:r w:rsidR="00470867">
        <w:rPr>
          <w:i/>
          <w:color w:val="000000" w:themeColor="text1"/>
          <w:lang w:val="en-US"/>
        </w:rPr>
        <w:t xml:space="preserve">của UBND tỉnh </w:t>
      </w:r>
      <w:r w:rsidR="00FF4382" w:rsidRPr="00E00D44">
        <w:rPr>
          <w:i/>
          <w:color w:val="000000" w:themeColor="text1"/>
        </w:rPr>
        <w:t xml:space="preserve">thực hiện </w:t>
      </w:r>
      <w:r w:rsidR="00FF4382" w:rsidRPr="00FF4382">
        <w:rPr>
          <w:i/>
          <w:color w:val="000000" w:themeColor="text1"/>
        </w:rPr>
        <w:t>Nghị quyết số 86/2018/NQ-HĐND</w:t>
      </w:r>
      <w:r w:rsidR="002971E1">
        <w:rPr>
          <w:i/>
          <w:color w:val="000000" w:themeColor="text1"/>
          <w:lang w:val="en-US"/>
        </w:rPr>
        <w:t xml:space="preserve"> </w:t>
      </w:r>
      <w:r w:rsidRPr="00FF4382">
        <w:rPr>
          <w:i/>
          <w:color w:val="000000" w:themeColor="text1"/>
        </w:rPr>
        <w:t>về một số chính sách phát triển công nghiệp, tiểu thủ công nghiệp tỉnh Hà Tĩnh đến năm 2025 và những năm tiếp theo</w:t>
      </w:r>
      <w:r w:rsidR="00311299" w:rsidRPr="00FF4382">
        <w:rPr>
          <w:i/>
          <w:color w:val="000000" w:themeColor="text1"/>
        </w:rPr>
        <w:t>;</w:t>
      </w:r>
    </w:p>
    <w:p w:rsidR="00D3229E" w:rsidRPr="002971E1" w:rsidRDefault="00752670" w:rsidP="00E6676B">
      <w:pPr>
        <w:spacing w:after="120"/>
        <w:ind w:firstLine="624"/>
        <w:jc w:val="both"/>
        <w:rPr>
          <w:rFonts w:eastAsia="Times New Roman"/>
          <w:i/>
          <w:iCs/>
          <w:szCs w:val="28"/>
          <w:lang w:val="en-US" w:eastAsia="vi-VN"/>
        </w:rPr>
      </w:pPr>
      <w:r>
        <w:rPr>
          <w:rFonts w:eastAsia="Times New Roman"/>
          <w:i/>
          <w:iCs/>
          <w:szCs w:val="28"/>
          <w:lang w:val="en-US" w:eastAsia="vi-VN"/>
        </w:rPr>
        <w:t>Theo</w:t>
      </w:r>
      <w:r w:rsidR="00D3229E" w:rsidRPr="00FF4382">
        <w:rPr>
          <w:rFonts w:eastAsia="Times New Roman"/>
          <w:i/>
          <w:iCs/>
          <w:szCs w:val="28"/>
          <w:lang w:eastAsia="vi-VN"/>
        </w:rPr>
        <w:t xml:space="preserve"> đề nghị của Sở Công Thương tại </w:t>
      </w:r>
      <w:r w:rsidR="009B1CCE" w:rsidRPr="00FF4382">
        <w:rPr>
          <w:rFonts w:eastAsia="Times New Roman"/>
          <w:i/>
          <w:iCs/>
          <w:szCs w:val="28"/>
          <w:lang w:eastAsia="vi-VN"/>
        </w:rPr>
        <w:t>Văn bản</w:t>
      </w:r>
      <w:r w:rsidR="00D3229E" w:rsidRPr="00FF4382">
        <w:rPr>
          <w:rFonts w:eastAsia="Times New Roman"/>
          <w:i/>
          <w:iCs/>
          <w:szCs w:val="28"/>
          <w:lang w:eastAsia="vi-VN"/>
        </w:rPr>
        <w:t xml:space="preserve"> số </w:t>
      </w:r>
      <w:r>
        <w:rPr>
          <w:rFonts w:eastAsia="Times New Roman"/>
          <w:i/>
          <w:iCs/>
          <w:szCs w:val="28"/>
          <w:lang w:val="en-US" w:eastAsia="vi-VN"/>
        </w:rPr>
        <w:t>1775</w:t>
      </w:r>
      <w:r w:rsidR="00D3229E" w:rsidRPr="00FF4382">
        <w:rPr>
          <w:rFonts w:eastAsia="Times New Roman"/>
          <w:i/>
          <w:iCs/>
          <w:szCs w:val="28"/>
          <w:lang w:eastAsia="vi-VN"/>
        </w:rPr>
        <w:t>/SCT</w:t>
      </w:r>
      <w:r w:rsidR="009B1CCE" w:rsidRPr="00FF4382">
        <w:rPr>
          <w:rFonts w:eastAsia="Times New Roman"/>
          <w:i/>
          <w:iCs/>
          <w:szCs w:val="28"/>
          <w:lang w:eastAsia="vi-VN"/>
        </w:rPr>
        <w:t>-QLCN</w:t>
      </w:r>
      <w:r w:rsidR="00D3229E" w:rsidRPr="00FF4382">
        <w:rPr>
          <w:rFonts w:eastAsia="Times New Roman"/>
          <w:i/>
          <w:iCs/>
          <w:szCs w:val="28"/>
          <w:lang w:eastAsia="vi-VN"/>
        </w:rPr>
        <w:t xml:space="preserve"> ngày</w:t>
      </w:r>
      <w:r>
        <w:rPr>
          <w:rFonts w:eastAsia="Times New Roman"/>
          <w:i/>
          <w:iCs/>
          <w:szCs w:val="28"/>
          <w:lang w:val="en-US" w:eastAsia="vi-VN"/>
        </w:rPr>
        <w:t xml:space="preserve"> 23 </w:t>
      </w:r>
      <w:r w:rsidR="0029531B" w:rsidRPr="00FF4382">
        <w:rPr>
          <w:rFonts w:eastAsia="Times New Roman"/>
          <w:i/>
          <w:iCs/>
          <w:szCs w:val="28"/>
          <w:lang w:eastAsia="vi-VN"/>
        </w:rPr>
        <w:t>t</w:t>
      </w:r>
      <w:r w:rsidR="00D3229E" w:rsidRPr="00FF4382">
        <w:rPr>
          <w:rFonts w:eastAsia="Times New Roman"/>
          <w:i/>
          <w:iCs/>
          <w:szCs w:val="28"/>
          <w:lang w:eastAsia="vi-VN"/>
        </w:rPr>
        <w:t>háng</w:t>
      </w:r>
      <w:r>
        <w:rPr>
          <w:rFonts w:eastAsia="Times New Roman"/>
          <w:i/>
          <w:iCs/>
          <w:szCs w:val="28"/>
          <w:lang w:val="en-US" w:eastAsia="vi-VN"/>
        </w:rPr>
        <w:t xml:space="preserve"> 11</w:t>
      </w:r>
      <w:r w:rsidR="00D3229E" w:rsidRPr="00FF4382">
        <w:rPr>
          <w:rFonts w:eastAsia="Times New Roman"/>
          <w:i/>
          <w:iCs/>
          <w:szCs w:val="28"/>
          <w:lang w:eastAsia="vi-VN"/>
        </w:rPr>
        <w:t xml:space="preserve"> năm 20</w:t>
      </w:r>
      <w:r w:rsidR="009B1CCE" w:rsidRPr="00FF4382">
        <w:rPr>
          <w:rFonts w:eastAsia="Times New Roman"/>
          <w:i/>
          <w:iCs/>
          <w:szCs w:val="28"/>
          <w:lang w:eastAsia="vi-VN"/>
        </w:rPr>
        <w:t>20</w:t>
      </w:r>
      <w:r>
        <w:rPr>
          <w:rFonts w:eastAsia="Times New Roman"/>
          <w:i/>
          <w:iCs/>
          <w:szCs w:val="28"/>
          <w:lang w:val="en-US" w:eastAsia="vi-VN"/>
        </w:rPr>
        <w:t>.</w:t>
      </w:r>
    </w:p>
    <w:p w:rsidR="00074ECA" w:rsidRPr="006E0286" w:rsidRDefault="00074ECA" w:rsidP="0024581E">
      <w:pPr>
        <w:spacing w:before="240" w:after="240"/>
        <w:jc w:val="center"/>
        <w:rPr>
          <w:b/>
          <w:bCs/>
          <w:szCs w:val="28"/>
        </w:rPr>
      </w:pPr>
      <w:r w:rsidRPr="001B63B9">
        <w:rPr>
          <w:b/>
          <w:bCs/>
          <w:szCs w:val="28"/>
        </w:rPr>
        <w:t>QUYẾT ĐỊNH:</w:t>
      </w:r>
    </w:p>
    <w:p w:rsidR="00074ECA" w:rsidRPr="00E00D44" w:rsidRDefault="00074ECA" w:rsidP="00E6676B">
      <w:pPr>
        <w:spacing w:after="120"/>
        <w:ind w:firstLine="624"/>
        <w:jc w:val="both"/>
        <w:rPr>
          <w:szCs w:val="28"/>
        </w:rPr>
      </w:pPr>
      <w:bookmarkStart w:id="0" w:name="dieu_1"/>
      <w:r w:rsidRPr="001B63B9">
        <w:rPr>
          <w:b/>
          <w:bCs/>
          <w:szCs w:val="28"/>
        </w:rPr>
        <w:t>Điều 1.</w:t>
      </w:r>
      <w:r w:rsidRPr="001B63B9">
        <w:rPr>
          <w:szCs w:val="28"/>
        </w:rPr>
        <w:t xml:space="preserve"> Phê duyệt Chương trình </w:t>
      </w:r>
      <w:r w:rsidR="00D822E3" w:rsidRPr="00E00D44">
        <w:rPr>
          <w:szCs w:val="28"/>
        </w:rPr>
        <w:t>k</w:t>
      </w:r>
      <w:r w:rsidRPr="001B63B9">
        <w:rPr>
          <w:szCs w:val="28"/>
        </w:rPr>
        <w:t>huyến công</w:t>
      </w:r>
      <w:r w:rsidR="009A6947" w:rsidRPr="009A6947">
        <w:rPr>
          <w:szCs w:val="28"/>
        </w:rPr>
        <w:t xml:space="preserve"> địa phương</w:t>
      </w:r>
      <w:r w:rsidR="00470867">
        <w:rPr>
          <w:szCs w:val="28"/>
          <w:lang w:val="en-US"/>
        </w:rPr>
        <w:t xml:space="preserve"> </w:t>
      </w:r>
      <w:r w:rsidRPr="006E0286">
        <w:rPr>
          <w:szCs w:val="28"/>
        </w:rPr>
        <w:t>giai đoạ</w:t>
      </w:r>
      <w:r w:rsidR="009B1CCE" w:rsidRPr="006E0286">
        <w:rPr>
          <w:szCs w:val="28"/>
        </w:rPr>
        <w:t>n 2021</w:t>
      </w:r>
      <w:r w:rsidRPr="006E0286">
        <w:rPr>
          <w:szCs w:val="28"/>
        </w:rPr>
        <w:t>-202</w:t>
      </w:r>
      <w:r w:rsidR="009B1CCE" w:rsidRPr="006E0286">
        <w:rPr>
          <w:szCs w:val="28"/>
        </w:rPr>
        <w:t>5</w:t>
      </w:r>
      <w:r w:rsidR="002971E1">
        <w:rPr>
          <w:szCs w:val="28"/>
          <w:lang w:val="en-US"/>
        </w:rPr>
        <w:t>,</w:t>
      </w:r>
      <w:r w:rsidR="005405F3" w:rsidRPr="00E00D44">
        <w:rPr>
          <w:szCs w:val="28"/>
        </w:rPr>
        <w:t xml:space="preserve"> với các nội dung cụ thể như sau:</w:t>
      </w:r>
    </w:p>
    <w:p w:rsidR="005405F3" w:rsidRPr="00356BF7" w:rsidRDefault="005405F3" w:rsidP="00E6676B">
      <w:pPr>
        <w:spacing w:after="120"/>
        <w:ind w:firstLine="624"/>
        <w:jc w:val="both"/>
        <w:rPr>
          <w:rFonts w:eastAsia="Times New Roman"/>
          <w:szCs w:val="28"/>
          <w:lang w:eastAsia="vi-VN"/>
        </w:rPr>
      </w:pPr>
      <w:r w:rsidRPr="00356BF7">
        <w:rPr>
          <w:rFonts w:eastAsia="Times New Roman"/>
          <w:b/>
          <w:bCs/>
          <w:szCs w:val="28"/>
          <w:lang w:val="sv-SE" w:eastAsia="vi-VN"/>
        </w:rPr>
        <w:t>I. MỤC TIÊU CHƯƠNG TRÌNH</w:t>
      </w:r>
    </w:p>
    <w:p w:rsidR="005405F3" w:rsidRPr="00356BF7" w:rsidRDefault="005405F3" w:rsidP="00E6676B">
      <w:pPr>
        <w:spacing w:after="120"/>
        <w:ind w:firstLine="624"/>
        <w:jc w:val="both"/>
        <w:rPr>
          <w:rFonts w:eastAsia="Times New Roman"/>
          <w:b/>
          <w:szCs w:val="28"/>
          <w:lang w:eastAsia="vi-VN"/>
        </w:rPr>
      </w:pPr>
      <w:r w:rsidRPr="00356BF7">
        <w:rPr>
          <w:rFonts w:eastAsia="Times New Roman"/>
          <w:b/>
          <w:szCs w:val="28"/>
          <w:lang w:val="sv-SE" w:eastAsia="vi-VN"/>
        </w:rPr>
        <w:t>1. Mục tiêu tổng quát</w:t>
      </w:r>
    </w:p>
    <w:p w:rsidR="00913200" w:rsidRPr="00E23F27" w:rsidRDefault="00913200" w:rsidP="00E6676B">
      <w:pPr>
        <w:spacing w:after="120"/>
        <w:ind w:firstLine="624"/>
        <w:jc w:val="both"/>
      </w:pPr>
      <w:r w:rsidRPr="00E23F27">
        <w:t xml:space="preserve">- Khuyến khích, hỗ trợ các tổ chức, cá nhân thuộc mọi thành phần kinh tế đầu tư phát triển sản xuất công nghiệp, tiểu thủ công nghiệp một cách bền vững, nâng cao năng lực cạnh tranh, thực hiện có hiệu quả lộ trình hội nhập kinh tế </w:t>
      </w:r>
      <w:r w:rsidRPr="00E23F27">
        <w:lastRenderedPageBreak/>
        <w:t>quốc tế và góp phần xây dựng nông thôn mới theo mục tiêu, định hướng chương trình khuyến công của Chính phủ và chính sách hỗ trợ của tỉnh.</w:t>
      </w:r>
    </w:p>
    <w:p w:rsidR="00913200" w:rsidRPr="00E23F27" w:rsidRDefault="00913200" w:rsidP="00E6676B">
      <w:pPr>
        <w:pStyle w:val="ListParagraph"/>
        <w:tabs>
          <w:tab w:val="left" w:pos="2492"/>
        </w:tabs>
        <w:spacing w:before="0" w:after="120"/>
        <w:ind w:left="0"/>
        <w:rPr>
          <w:sz w:val="28"/>
          <w:lang w:val="vi-VN"/>
        </w:rPr>
      </w:pPr>
      <w:r w:rsidRPr="00E23F27">
        <w:rPr>
          <w:sz w:val="28"/>
          <w:lang w:val="vi-VN"/>
        </w:rPr>
        <w:t xml:space="preserve">- Tuyên truyền sâu rộng </w:t>
      </w:r>
      <w:r w:rsidRPr="00E00D44">
        <w:rPr>
          <w:sz w:val="28"/>
          <w:lang w:val="vi-VN"/>
        </w:rPr>
        <w:t>bằng nhiều biện pháp</w:t>
      </w:r>
      <w:r w:rsidRPr="00E23F27">
        <w:rPr>
          <w:sz w:val="28"/>
          <w:lang w:val="vi-VN"/>
        </w:rPr>
        <w:t xml:space="preserve"> về hoạt động khuyến công, tăng số lượng các cơ sở sản xuất công nghiệp nhận thức được lợi ích của việc áp dụng </w:t>
      </w:r>
      <w:r w:rsidR="00A51EB4">
        <w:rPr>
          <w:sz w:val="28"/>
        </w:rPr>
        <w:t>sản xuất sạch hơn (</w:t>
      </w:r>
      <w:r w:rsidR="00A51EB4">
        <w:rPr>
          <w:sz w:val="28"/>
          <w:lang w:val="vi-VN"/>
        </w:rPr>
        <w:t>SXSH</w:t>
      </w:r>
      <w:r w:rsidR="00A51EB4">
        <w:rPr>
          <w:sz w:val="28"/>
        </w:rPr>
        <w:t>)</w:t>
      </w:r>
      <w:r w:rsidRPr="00E23F27">
        <w:rPr>
          <w:sz w:val="28"/>
          <w:lang w:val="vi-VN"/>
        </w:rPr>
        <w:t xml:space="preserve"> trong công nghiệp; hỗ trợ một số cơ sở sản xuất công nghiệp áp dụng </w:t>
      </w:r>
      <w:r w:rsidR="00A51EB4">
        <w:rPr>
          <w:sz w:val="28"/>
          <w:lang w:val="vi-VN"/>
        </w:rPr>
        <w:t>SXSH</w:t>
      </w:r>
      <w:r w:rsidRPr="00E23F27">
        <w:rPr>
          <w:sz w:val="28"/>
          <w:lang w:val="vi-VN"/>
        </w:rPr>
        <w:t xml:space="preserve"> trong sản xuất sản phẩm. Ưu tiên hỗ trợ các mô hình phát triển </w:t>
      </w:r>
      <w:r w:rsidR="00A51EB4">
        <w:rPr>
          <w:sz w:val="28"/>
        </w:rPr>
        <w:t>công nghiệp nông thôn (</w:t>
      </w:r>
      <w:r w:rsidR="00A51EB4">
        <w:rPr>
          <w:sz w:val="28"/>
          <w:lang w:val="vi-VN"/>
        </w:rPr>
        <w:t>CNNT</w:t>
      </w:r>
      <w:r w:rsidR="00A51EB4">
        <w:rPr>
          <w:sz w:val="28"/>
        </w:rPr>
        <w:t>)</w:t>
      </w:r>
      <w:r w:rsidRPr="00E23F27">
        <w:rPr>
          <w:sz w:val="28"/>
          <w:lang w:val="vi-VN"/>
        </w:rPr>
        <w:t xml:space="preserve"> theo chuỗi từ sản xuất giống, bao tiêu sản phẩm nông nghiệp làm nguyên liệu chế biến, chế biến sâu các sản phẩm và tiêu thụ hướng tới xuất khẩu.</w:t>
      </w:r>
    </w:p>
    <w:p w:rsidR="00913200" w:rsidRPr="00E23F27" w:rsidRDefault="00913200" w:rsidP="00E6676B">
      <w:pPr>
        <w:pStyle w:val="ListParagraph"/>
        <w:tabs>
          <w:tab w:val="left" w:pos="2492"/>
        </w:tabs>
        <w:spacing w:before="0" w:after="120"/>
        <w:ind w:left="0"/>
        <w:rPr>
          <w:sz w:val="28"/>
          <w:lang w:val="vi-VN"/>
        </w:rPr>
      </w:pPr>
      <w:r w:rsidRPr="00E23F27">
        <w:rPr>
          <w:sz w:val="28"/>
          <w:lang w:val="vi-VN"/>
        </w:rPr>
        <w:t>- Hoàn thiện quy trình quản lý và nâng cao năng lực tổ chức thực hiện hoạt động khuyến công các</w:t>
      </w:r>
      <w:r w:rsidR="00935281">
        <w:rPr>
          <w:sz w:val="28"/>
        </w:rPr>
        <w:t xml:space="preserve"> </w:t>
      </w:r>
      <w:r w:rsidRPr="00E23F27">
        <w:rPr>
          <w:sz w:val="28"/>
          <w:lang w:val="vi-VN"/>
        </w:rPr>
        <w:t>cấp.</w:t>
      </w:r>
    </w:p>
    <w:p w:rsidR="005405F3" w:rsidRPr="00356BF7" w:rsidRDefault="005405F3" w:rsidP="00E6676B">
      <w:pPr>
        <w:spacing w:after="120"/>
        <w:ind w:firstLine="624"/>
        <w:jc w:val="both"/>
        <w:rPr>
          <w:rFonts w:eastAsia="Times New Roman"/>
          <w:b/>
          <w:szCs w:val="28"/>
          <w:lang w:eastAsia="vi-VN"/>
        </w:rPr>
      </w:pPr>
      <w:bookmarkStart w:id="1" w:name="dieu_1_1"/>
      <w:r w:rsidRPr="00356BF7">
        <w:rPr>
          <w:rFonts w:eastAsia="Times New Roman"/>
          <w:b/>
          <w:szCs w:val="28"/>
          <w:lang w:val="sv-SE" w:eastAsia="vi-VN"/>
        </w:rPr>
        <w:t>2. Mục tiêu cụ thể</w:t>
      </w:r>
    </w:p>
    <w:p w:rsidR="00913200" w:rsidRPr="00E23F27" w:rsidRDefault="00913200" w:rsidP="00E6676B">
      <w:pPr>
        <w:pStyle w:val="ListParagraph"/>
        <w:tabs>
          <w:tab w:val="left" w:pos="2506"/>
        </w:tabs>
        <w:spacing w:before="0" w:after="120"/>
        <w:ind w:left="0"/>
        <w:rPr>
          <w:sz w:val="28"/>
          <w:lang w:val="vi-VN"/>
        </w:rPr>
      </w:pPr>
      <w:r w:rsidRPr="00E23F27">
        <w:rPr>
          <w:sz w:val="28"/>
          <w:lang w:val="vi-VN"/>
        </w:rPr>
        <w:t xml:space="preserve">- Góp phần đẩy mạnh phát triển </w:t>
      </w:r>
      <w:r w:rsidR="00A51EB4">
        <w:rPr>
          <w:sz w:val="28"/>
          <w:lang w:val="vi-VN"/>
        </w:rPr>
        <w:t>CNNT</w:t>
      </w:r>
      <w:r w:rsidRPr="00E23F27">
        <w:rPr>
          <w:sz w:val="28"/>
          <w:lang w:val="vi-VN"/>
        </w:rPr>
        <w:t xml:space="preserve"> của tỉnh</w:t>
      </w:r>
      <w:r w:rsidR="002971E1">
        <w:rPr>
          <w:sz w:val="28"/>
        </w:rPr>
        <w:t>,</w:t>
      </w:r>
      <w:r w:rsidRPr="00E00D44">
        <w:rPr>
          <w:sz w:val="28"/>
          <w:lang w:val="vi-VN"/>
        </w:rPr>
        <w:t xml:space="preserve"> đảm bảo </w:t>
      </w:r>
      <w:r w:rsidRPr="00E23F27">
        <w:rPr>
          <w:sz w:val="28"/>
          <w:lang w:val="vi-VN"/>
        </w:rPr>
        <w:t>giá trị sản xuất công nghiệp đạt mức tăng trưởng bình quân 11,9%/năm, tăng tỷ trọng công nghiệp chế biến sâu, có hàm lượng công nghệ cao, có giá trị gia tăng cao của các sản phẩm nông, lâm, thủy, hải sản; chuyển dịch cơ cấu kinh tế, cơ cấu lao động ở khu vực nông thôn theo hướng công nghiệp hóa, hiện đại</w:t>
      </w:r>
      <w:r w:rsidR="00935281">
        <w:rPr>
          <w:sz w:val="28"/>
        </w:rPr>
        <w:t xml:space="preserve"> </w:t>
      </w:r>
      <w:r w:rsidRPr="00E23F27">
        <w:rPr>
          <w:sz w:val="28"/>
          <w:lang w:val="vi-VN"/>
        </w:rPr>
        <w:t>hóa.</w:t>
      </w:r>
    </w:p>
    <w:p w:rsidR="005405F3" w:rsidRPr="00356BF7" w:rsidRDefault="00913200" w:rsidP="00E6676B">
      <w:pPr>
        <w:spacing w:after="120"/>
        <w:ind w:firstLine="624"/>
        <w:jc w:val="both"/>
        <w:rPr>
          <w:szCs w:val="28"/>
          <w:lang w:eastAsia="vi-VN"/>
        </w:rPr>
      </w:pPr>
      <w:r w:rsidRPr="00E23F27">
        <w:t xml:space="preserve">- Đến năm 2025, đào tạo mới, đào tạo nâng cao tay nghề cho trên 1.000 lao động của các cơ sở </w:t>
      </w:r>
      <w:r w:rsidR="00A51EB4">
        <w:t>CNNT</w:t>
      </w:r>
      <w:r w:rsidRPr="00E23F27">
        <w:t xml:space="preserve">; hỗ trợ nâng cao năng lực quản lý cho trên 2.000 học viên tham gia các khóa bồi dưỡng kiến thức về quản trị kinh doanh, tiết kiệm năng lượng; hỗ trợ thành lập mới khoảng 20-30 doanh nghiệp hoạt động trong lĩnh vực </w:t>
      </w:r>
      <w:r w:rsidR="00A51EB4">
        <w:t>CNNT</w:t>
      </w:r>
      <w:r w:rsidRPr="00E23F27">
        <w:t>; hỗ trợ xây dựng khoảng 10 mô hình trình diễn kỹ thuật áp dụng công nghệ mới, sản xuất sản phẩm mới</w:t>
      </w:r>
      <w:r w:rsidR="00AA55B3">
        <w:rPr>
          <w:lang w:val="en-US"/>
        </w:rPr>
        <w:t>;</w:t>
      </w:r>
      <w:r w:rsidRPr="00E23F27">
        <w:t xml:space="preserve"> khoảng </w:t>
      </w:r>
      <w:r w:rsidR="00AA55B3">
        <w:rPr>
          <w:lang w:val="en-US"/>
        </w:rPr>
        <w:t>30</w:t>
      </w:r>
      <w:r w:rsidRPr="00E23F27">
        <w:t xml:space="preserve"> cơ sở ứng dụng máy móc thiết bị, chuyển giao công nghệ mới vào sản xuất sản phẩm; hỗ trợ xây dựng thương hiệu</w:t>
      </w:r>
      <w:r w:rsidR="00AA55B3">
        <w:rPr>
          <w:lang w:val="en-US"/>
        </w:rPr>
        <w:t>, nhãn hiệu</w:t>
      </w:r>
      <w:r w:rsidRPr="00E23F27">
        <w:t xml:space="preserve"> cho khoảng </w:t>
      </w:r>
      <w:r w:rsidR="00AA55B3">
        <w:rPr>
          <w:lang w:val="en-US"/>
        </w:rPr>
        <w:t>15</w:t>
      </w:r>
      <w:r w:rsidRPr="00E23F27">
        <w:t xml:space="preserve"> sản phẩm </w:t>
      </w:r>
      <w:r w:rsidR="00A51EB4">
        <w:t>CNNT</w:t>
      </w:r>
      <w:r w:rsidRPr="00E23F27">
        <w:t xml:space="preserve">; tổ chức 03 cuộc bình chọn sản phẩm </w:t>
      </w:r>
      <w:r w:rsidR="00A51EB4">
        <w:t>CNNT</w:t>
      </w:r>
      <w:r w:rsidRPr="00E23F27">
        <w:t xml:space="preserve"> tiêu biểu cấp tỉnh; hỗ trợ lập quy hoạch chi tiết, đầu tư xây dựng hoàn thiện kết cấu hạ tầng </w:t>
      </w:r>
      <w:r w:rsidR="00A51EB4">
        <w:rPr>
          <w:lang w:val="en-US"/>
        </w:rPr>
        <w:t>cụm công nghiệp (</w:t>
      </w:r>
      <w:r w:rsidR="00A51EB4">
        <w:t>CCN</w:t>
      </w:r>
      <w:r w:rsidR="00A51EB4">
        <w:rPr>
          <w:lang w:val="en-US"/>
        </w:rPr>
        <w:t>)</w:t>
      </w:r>
      <w:r w:rsidRPr="00E23F27">
        <w:t>; phấn đ</w:t>
      </w:r>
      <w:r w:rsidR="008618DA">
        <w:rPr>
          <w:lang w:val="en-US"/>
        </w:rPr>
        <w:t>ấ</w:t>
      </w:r>
      <w:r w:rsidRPr="00E23F27">
        <w:t xml:space="preserve">u đến 2025 các </w:t>
      </w:r>
      <w:r w:rsidR="00A51EB4">
        <w:t>CCN</w:t>
      </w:r>
      <w:r w:rsidRPr="00E23F27">
        <w:t xml:space="preserve"> đã đi vào hoạt động trên địa bàn tỉnh được đầu tư hệ thống xử lý nước thải tập trung.</w:t>
      </w:r>
    </w:p>
    <w:p w:rsidR="005405F3" w:rsidRPr="00356BF7" w:rsidRDefault="005405F3" w:rsidP="00E6676B">
      <w:pPr>
        <w:spacing w:after="120"/>
        <w:ind w:firstLine="624"/>
        <w:jc w:val="both"/>
        <w:rPr>
          <w:rFonts w:eastAsia="Times New Roman"/>
          <w:szCs w:val="28"/>
          <w:lang w:eastAsia="vi-VN"/>
        </w:rPr>
      </w:pPr>
      <w:r w:rsidRPr="00356BF7">
        <w:rPr>
          <w:rFonts w:eastAsia="Times New Roman"/>
          <w:b/>
          <w:bCs/>
          <w:szCs w:val="28"/>
          <w:lang w:val="sv-SE" w:eastAsia="vi-VN"/>
        </w:rPr>
        <w:t xml:space="preserve">II. </w:t>
      </w:r>
      <w:bookmarkEnd w:id="1"/>
      <w:r w:rsidRPr="00356BF7">
        <w:rPr>
          <w:rFonts w:eastAsia="Times New Roman"/>
          <w:b/>
          <w:bCs/>
          <w:szCs w:val="28"/>
          <w:lang w:val="sv-SE" w:eastAsia="vi-VN"/>
        </w:rPr>
        <w:t xml:space="preserve">PHẠM VI VÀ ĐỐI TƯỢNG </w:t>
      </w:r>
      <w:r w:rsidR="00EF3367">
        <w:rPr>
          <w:rFonts w:eastAsia="Times New Roman"/>
          <w:b/>
          <w:bCs/>
          <w:szCs w:val="28"/>
          <w:lang w:val="sv-SE" w:eastAsia="vi-VN"/>
        </w:rPr>
        <w:t>ÁP DỤNG</w:t>
      </w:r>
    </w:p>
    <w:p w:rsidR="005405F3" w:rsidRPr="00356BF7" w:rsidRDefault="005405F3" w:rsidP="00E6676B">
      <w:pPr>
        <w:spacing w:after="120"/>
        <w:ind w:firstLine="624"/>
        <w:jc w:val="both"/>
        <w:rPr>
          <w:rFonts w:eastAsia="Times New Roman"/>
          <w:b/>
          <w:szCs w:val="28"/>
          <w:lang w:eastAsia="vi-VN"/>
        </w:rPr>
      </w:pPr>
      <w:r w:rsidRPr="00356BF7">
        <w:rPr>
          <w:rFonts w:eastAsia="Times New Roman"/>
          <w:b/>
          <w:szCs w:val="28"/>
          <w:lang w:val="sv-SE" w:eastAsia="vi-VN"/>
        </w:rPr>
        <w:t xml:space="preserve">1. Phạm vi </w:t>
      </w:r>
    </w:p>
    <w:p w:rsidR="005405F3" w:rsidRPr="009F24CD" w:rsidRDefault="007028BB" w:rsidP="00E6676B">
      <w:pPr>
        <w:spacing w:after="120"/>
        <w:ind w:firstLine="624"/>
        <w:jc w:val="both"/>
        <w:rPr>
          <w:spacing w:val="-4"/>
          <w:szCs w:val="28"/>
          <w:lang w:val="sv-SE" w:eastAsia="vi-VN"/>
        </w:rPr>
      </w:pPr>
      <w:r>
        <w:rPr>
          <w:spacing w:val="-4"/>
          <w:szCs w:val="28"/>
          <w:lang w:val="sv-SE" w:eastAsia="vi-VN"/>
        </w:rPr>
        <w:t xml:space="preserve">Trên địa bàn tỉnh Hà Tĩnh, </w:t>
      </w:r>
      <w:r w:rsidR="005405F3" w:rsidRPr="009F24CD">
        <w:rPr>
          <w:spacing w:val="-4"/>
          <w:szCs w:val="28"/>
          <w:lang w:val="sv-SE" w:eastAsia="vi-VN"/>
        </w:rPr>
        <w:t xml:space="preserve">gồm các nội dung hoạt động khuyến công và danh mục ngành nghề được hưởng chính sách khuyến công được quy định tại Điều 4, Điều 5 </w:t>
      </w:r>
      <w:r w:rsidR="002971E1">
        <w:rPr>
          <w:spacing w:val="-4"/>
          <w:szCs w:val="28"/>
          <w:lang w:val="sv-SE" w:eastAsia="vi-VN"/>
        </w:rPr>
        <w:t xml:space="preserve">của </w:t>
      </w:r>
      <w:r w:rsidR="005405F3" w:rsidRPr="009F24CD">
        <w:rPr>
          <w:spacing w:val="-4"/>
          <w:szCs w:val="28"/>
          <w:lang w:val="sv-SE" w:eastAsia="vi-VN"/>
        </w:rPr>
        <w:t>Nghị định số 45/2012/NĐ-CP ngày 21/5/2012 của Chính phủ về khuyến</w:t>
      </w:r>
      <w:r w:rsidR="00470867" w:rsidRPr="009F24CD">
        <w:rPr>
          <w:spacing w:val="-4"/>
          <w:szCs w:val="28"/>
          <w:lang w:val="sv-SE" w:eastAsia="vi-VN"/>
        </w:rPr>
        <w:t xml:space="preserve"> công và </w:t>
      </w:r>
      <w:r w:rsidR="005405F3" w:rsidRPr="009F24CD">
        <w:rPr>
          <w:spacing w:val="-4"/>
          <w:szCs w:val="28"/>
          <w:lang w:val="sv-SE" w:eastAsia="vi-VN"/>
        </w:rPr>
        <w:t>Điều 1</w:t>
      </w:r>
      <w:r w:rsidR="002971E1">
        <w:rPr>
          <w:spacing w:val="-4"/>
          <w:szCs w:val="28"/>
          <w:lang w:val="sv-SE" w:eastAsia="vi-VN"/>
        </w:rPr>
        <w:t xml:space="preserve"> của </w:t>
      </w:r>
      <w:r w:rsidR="005405F3" w:rsidRPr="009F24CD">
        <w:rPr>
          <w:spacing w:val="-4"/>
          <w:szCs w:val="28"/>
          <w:lang w:val="sv-SE" w:eastAsia="vi-VN"/>
        </w:rPr>
        <w:t>Nghị quyết số 86/NQ-HĐND ngày 18/7/2018 của HĐND tỉnh.</w:t>
      </w:r>
    </w:p>
    <w:p w:rsidR="005405F3" w:rsidRPr="00356BF7" w:rsidRDefault="005405F3" w:rsidP="00E6676B">
      <w:pPr>
        <w:spacing w:after="120"/>
        <w:ind w:firstLine="624"/>
        <w:jc w:val="both"/>
        <w:rPr>
          <w:rFonts w:eastAsia="Times New Roman"/>
          <w:b/>
          <w:szCs w:val="28"/>
          <w:lang w:eastAsia="vi-VN"/>
        </w:rPr>
      </w:pPr>
      <w:r w:rsidRPr="00356BF7">
        <w:rPr>
          <w:rFonts w:eastAsia="Times New Roman"/>
          <w:b/>
          <w:szCs w:val="28"/>
          <w:lang w:eastAsia="vi-VN"/>
        </w:rPr>
        <w:t>2.</w:t>
      </w:r>
      <w:r w:rsidRPr="00356BF7">
        <w:rPr>
          <w:rFonts w:eastAsia="Times New Roman"/>
          <w:b/>
          <w:szCs w:val="28"/>
          <w:lang w:val="sv-SE" w:eastAsia="vi-VN"/>
        </w:rPr>
        <w:t xml:space="preserve"> Đối tượng áp dụng</w:t>
      </w:r>
    </w:p>
    <w:p w:rsidR="005405F3" w:rsidRPr="00356BF7" w:rsidRDefault="005405F3" w:rsidP="00E6676B">
      <w:pPr>
        <w:spacing w:after="120"/>
        <w:ind w:firstLine="624"/>
        <w:jc w:val="both"/>
        <w:rPr>
          <w:szCs w:val="28"/>
          <w:lang w:eastAsia="vi-VN"/>
        </w:rPr>
      </w:pPr>
      <w:bookmarkStart w:id="2" w:name="dieu_3_1"/>
      <w:r w:rsidRPr="00356BF7">
        <w:rPr>
          <w:szCs w:val="28"/>
          <w:lang w:val="sv-SE" w:eastAsia="vi-VN"/>
        </w:rPr>
        <w:t xml:space="preserve">a) Tổ chức, cá nhân trực tiếp đầu tư, sản xuất công nghiệp, tiểu thủ công nghiệp và dịch vụ công nghiệp, tiểu thủ công nghiệp trên địa bàn tỉnh, bao gồm: </w:t>
      </w:r>
      <w:r w:rsidRPr="00356BF7">
        <w:rPr>
          <w:szCs w:val="28"/>
          <w:lang w:val="sv-SE" w:eastAsia="vi-VN"/>
        </w:rPr>
        <w:lastRenderedPageBreak/>
        <w:t xml:space="preserve">doanh nghiệp nhỏ và vừa; hợp tác xã, tổ hợp tác, hộ kinh doanh thành lập và hoạt động theo quy định của pháp luật (sau đây gọi chung là cơ sở </w:t>
      </w:r>
      <w:r w:rsidR="00A51EB4">
        <w:rPr>
          <w:szCs w:val="28"/>
          <w:lang w:val="sv-SE" w:eastAsia="vi-VN"/>
        </w:rPr>
        <w:t>CNNT</w:t>
      </w:r>
      <w:r w:rsidR="009F24CD">
        <w:rPr>
          <w:szCs w:val="28"/>
          <w:lang w:val="sv-SE" w:eastAsia="vi-VN"/>
        </w:rPr>
        <w:t>).</w:t>
      </w:r>
    </w:p>
    <w:p w:rsidR="005405F3" w:rsidRPr="00356BF7" w:rsidRDefault="005405F3" w:rsidP="00E6676B">
      <w:pPr>
        <w:spacing w:after="120"/>
        <w:ind w:firstLine="624"/>
        <w:jc w:val="both"/>
        <w:rPr>
          <w:szCs w:val="28"/>
          <w:lang w:val="sv-SE" w:eastAsia="vi-VN"/>
        </w:rPr>
      </w:pPr>
      <w:r w:rsidRPr="00356BF7">
        <w:rPr>
          <w:szCs w:val="28"/>
          <w:lang w:val="sv-SE" w:eastAsia="vi-VN"/>
        </w:rPr>
        <w:t xml:space="preserve">b) Các cơ sở sản xuất công nghiệp áp dụng </w:t>
      </w:r>
      <w:r w:rsidR="00A51EB4">
        <w:rPr>
          <w:szCs w:val="28"/>
          <w:lang w:val="sv-SE" w:eastAsia="vi-VN"/>
        </w:rPr>
        <w:t>SXSH</w:t>
      </w:r>
      <w:r w:rsidR="009F24CD">
        <w:rPr>
          <w:szCs w:val="28"/>
          <w:lang w:val="sv-SE" w:eastAsia="vi-VN"/>
        </w:rPr>
        <w:t>.</w:t>
      </w:r>
    </w:p>
    <w:p w:rsidR="005405F3" w:rsidRPr="00356BF7" w:rsidRDefault="005405F3" w:rsidP="00E6676B">
      <w:pPr>
        <w:spacing w:after="120"/>
        <w:ind w:firstLine="624"/>
        <w:jc w:val="both"/>
        <w:rPr>
          <w:szCs w:val="28"/>
          <w:lang w:val="sv-SE" w:eastAsia="vi-VN"/>
        </w:rPr>
      </w:pPr>
      <w:r w:rsidRPr="00356BF7">
        <w:rPr>
          <w:szCs w:val="28"/>
          <w:lang w:val="sv-SE" w:eastAsia="vi-VN"/>
        </w:rPr>
        <w:t>c) Tổ chức, cá nhân trong nước và nước ngoài tham gia công tác quản lý, thực hiện các hoạt động dịch vụ khuyến công.</w:t>
      </w:r>
    </w:p>
    <w:p w:rsidR="005405F3" w:rsidRPr="00356BF7" w:rsidRDefault="005405F3" w:rsidP="00E6676B">
      <w:pPr>
        <w:spacing w:after="120"/>
        <w:ind w:firstLine="624"/>
        <w:jc w:val="both"/>
        <w:rPr>
          <w:rFonts w:eastAsia="Times New Roman"/>
          <w:szCs w:val="28"/>
          <w:lang w:eastAsia="vi-VN"/>
        </w:rPr>
      </w:pPr>
      <w:r w:rsidRPr="00356BF7">
        <w:rPr>
          <w:rFonts w:eastAsia="Times New Roman"/>
          <w:b/>
          <w:bCs/>
          <w:szCs w:val="28"/>
          <w:lang w:val="sv-SE" w:eastAsia="vi-VN"/>
        </w:rPr>
        <w:t xml:space="preserve">III. </w:t>
      </w:r>
      <w:bookmarkEnd w:id="2"/>
      <w:r w:rsidRPr="00356BF7">
        <w:rPr>
          <w:rFonts w:eastAsia="Times New Roman"/>
          <w:b/>
          <w:bCs/>
          <w:szCs w:val="28"/>
          <w:lang w:val="sv-SE" w:eastAsia="vi-VN"/>
        </w:rPr>
        <w:t>NỘI DUNG CHƯƠNG TRÌNH</w:t>
      </w:r>
    </w:p>
    <w:p w:rsidR="005405F3" w:rsidRPr="00356BF7" w:rsidRDefault="005405F3" w:rsidP="00E6676B">
      <w:pPr>
        <w:spacing w:after="120"/>
        <w:ind w:firstLine="624"/>
        <w:jc w:val="both"/>
        <w:rPr>
          <w:rFonts w:eastAsia="Times New Roman"/>
          <w:b/>
          <w:szCs w:val="28"/>
          <w:lang w:eastAsia="vi-VN"/>
        </w:rPr>
      </w:pPr>
      <w:bookmarkStart w:id="3" w:name="dieu_5"/>
      <w:r w:rsidRPr="00356BF7">
        <w:rPr>
          <w:rFonts w:eastAsia="Times New Roman"/>
          <w:b/>
          <w:szCs w:val="28"/>
          <w:lang w:val="sv-SE" w:eastAsia="vi-VN"/>
        </w:rPr>
        <w:t xml:space="preserve">1. </w:t>
      </w:r>
      <w:r w:rsidR="00147D75">
        <w:rPr>
          <w:rFonts w:eastAsia="Times New Roman"/>
          <w:b/>
          <w:szCs w:val="28"/>
          <w:lang w:val="sv-SE" w:eastAsia="vi-VN"/>
        </w:rPr>
        <w:t>Đ</w:t>
      </w:r>
      <w:r w:rsidRPr="00356BF7">
        <w:rPr>
          <w:rFonts w:eastAsia="Times New Roman"/>
          <w:b/>
          <w:szCs w:val="28"/>
          <w:lang w:val="sv-SE" w:eastAsia="vi-VN"/>
        </w:rPr>
        <w:t>ào tạo nghề, truyền nghề</w:t>
      </w:r>
      <w:r w:rsidR="00147D75">
        <w:rPr>
          <w:rFonts w:eastAsia="Times New Roman"/>
          <w:b/>
          <w:szCs w:val="28"/>
          <w:lang w:val="sv-SE" w:eastAsia="vi-VN"/>
        </w:rPr>
        <w:t xml:space="preserve"> và nâng cao tay nghề</w:t>
      </w:r>
    </w:p>
    <w:p w:rsidR="005405F3" w:rsidRPr="00470867" w:rsidRDefault="005405F3" w:rsidP="00E6676B">
      <w:pPr>
        <w:spacing w:after="120"/>
        <w:ind w:firstLine="624"/>
        <w:jc w:val="both"/>
        <w:rPr>
          <w:szCs w:val="28"/>
          <w:lang w:val="en-US" w:eastAsia="vi-VN"/>
        </w:rPr>
      </w:pPr>
      <w:r w:rsidRPr="00356BF7">
        <w:rPr>
          <w:szCs w:val="28"/>
          <w:lang w:eastAsia="vi-VN"/>
        </w:rPr>
        <w:t>a) Nội dung thực hiệ</w:t>
      </w:r>
      <w:r w:rsidR="00470867">
        <w:rPr>
          <w:szCs w:val="28"/>
          <w:lang w:eastAsia="vi-VN"/>
        </w:rPr>
        <w:t>n</w:t>
      </w:r>
    </w:p>
    <w:p w:rsidR="005405F3" w:rsidRPr="00356BF7" w:rsidRDefault="005405F3" w:rsidP="00E6676B">
      <w:pPr>
        <w:spacing w:after="120"/>
        <w:ind w:firstLine="624"/>
        <w:jc w:val="both"/>
        <w:rPr>
          <w:szCs w:val="28"/>
          <w:lang w:eastAsia="vi-VN"/>
        </w:rPr>
      </w:pPr>
      <w:r w:rsidRPr="00356BF7">
        <w:rPr>
          <w:szCs w:val="28"/>
          <w:lang w:eastAsia="vi-VN"/>
        </w:rPr>
        <w:t xml:space="preserve">- Hỗ trợ tổ chức các khóa đào tạo nghề, truyền nghề theo nhu cầu của các cơ sở </w:t>
      </w:r>
      <w:r w:rsidR="00A51EB4">
        <w:rPr>
          <w:szCs w:val="28"/>
          <w:lang w:eastAsia="vi-VN"/>
        </w:rPr>
        <w:t>CNNT</w:t>
      </w:r>
      <w:r w:rsidRPr="00356BF7">
        <w:rPr>
          <w:szCs w:val="28"/>
          <w:lang w:eastAsia="vi-VN"/>
        </w:rPr>
        <w:t xml:space="preserve">. Hình thức đào tạo chủ yếu là ngắn hạn, gắn lý thuyết với thực hành, gắn với cơ sở </w:t>
      </w:r>
      <w:r w:rsidR="00A51EB4">
        <w:rPr>
          <w:szCs w:val="28"/>
          <w:lang w:eastAsia="vi-VN"/>
        </w:rPr>
        <w:t>CNNT</w:t>
      </w:r>
      <w:r w:rsidRPr="00356BF7">
        <w:rPr>
          <w:szCs w:val="28"/>
          <w:lang w:eastAsia="vi-VN"/>
        </w:rPr>
        <w:t xml:space="preserve"> để tạo việc làm và nâng cao tay nghề cho lao động sau khi đào tạo thành nghề. Công tác đào tạo nghề tập trung vào 04 nhóm ngành nghề với thứ tự ưu tiên như sau:</w:t>
      </w:r>
    </w:p>
    <w:p w:rsidR="005405F3" w:rsidRPr="00356BF7" w:rsidRDefault="005405F3" w:rsidP="00E6676B">
      <w:pPr>
        <w:spacing w:after="120"/>
        <w:ind w:firstLine="624"/>
        <w:jc w:val="both"/>
        <w:rPr>
          <w:szCs w:val="28"/>
          <w:lang w:eastAsia="vi-VN"/>
        </w:rPr>
      </w:pPr>
      <w:r w:rsidRPr="00356BF7">
        <w:rPr>
          <w:szCs w:val="28"/>
          <w:lang w:eastAsia="vi-VN"/>
        </w:rPr>
        <w:t>+ Ngành nghề giải quyết nhiều việc làm cho lao động trên địa bàn tỉnh;</w:t>
      </w:r>
    </w:p>
    <w:p w:rsidR="005405F3" w:rsidRPr="00356BF7" w:rsidRDefault="005405F3" w:rsidP="00E6676B">
      <w:pPr>
        <w:spacing w:after="120"/>
        <w:ind w:firstLine="624"/>
        <w:jc w:val="both"/>
        <w:rPr>
          <w:szCs w:val="28"/>
          <w:lang w:eastAsia="vi-VN"/>
        </w:rPr>
      </w:pPr>
      <w:r w:rsidRPr="00356BF7">
        <w:rPr>
          <w:szCs w:val="28"/>
          <w:lang w:eastAsia="vi-VN"/>
        </w:rPr>
        <w:t>+ Sản xuất các sản phẩm phục vụ du lịch và xuất khẩu;</w:t>
      </w:r>
    </w:p>
    <w:p w:rsidR="005405F3" w:rsidRPr="00356BF7" w:rsidRDefault="005405F3" w:rsidP="00E6676B">
      <w:pPr>
        <w:spacing w:after="120"/>
        <w:ind w:firstLine="624"/>
        <w:jc w:val="both"/>
        <w:rPr>
          <w:szCs w:val="28"/>
          <w:lang w:eastAsia="vi-VN"/>
        </w:rPr>
      </w:pPr>
      <w:r w:rsidRPr="00356BF7">
        <w:rPr>
          <w:szCs w:val="28"/>
          <w:lang w:eastAsia="vi-VN"/>
        </w:rPr>
        <w:t>+ Khôi phục, phát triển ngành nghề truyền thống;</w:t>
      </w:r>
    </w:p>
    <w:p w:rsidR="005405F3" w:rsidRPr="00356BF7" w:rsidRDefault="005405F3" w:rsidP="00E6676B">
      <w:pPr>
        <w:spacing w:after="120"/>
        <w:ind w:firstLine="624"/>
        <w:jc w:val="both"/>
        <w:rPr>
          <w:szCs w:val="28"/>
          <w:lang w:eastAsia="vi-VN"/>
        </w:rPr>
      </w:pPr>
      <w:r w:rsidRPr="00356BF7">
        <w:rPr>
          <w:szCs w:val="28"/>
          <w:lang w:val="de-DE" w:eastAsia="vi-VN"/>
        </w:rPr>
        <w:t>+ Du nhập ngành nghề mới.</w:t>
      </w:r>
    </w:p>
    <w:p w:rsidR="005405F3" w:rsidRPr="00356BF7" w:rsidRDefault="005405F3" w:rsidP="00E6676B">
      <w:pPr>
        <w:spacing w:after="120"/>
        <w:ind w:firstLine="624"/>
        <w:jc w:val="both"/>
        <w:rPr>
          <w:szCs w:val="28"/>
          <w:lang w:eastAsia="vi-VN"/>
        </w:rPr>
      </w:pPr>
      <w:r w:rsidRPr="00356BF7">
        <w:rPr>
          <w:szCs w:val="28"/>
          <w:lang w:val="de-DE" w:eastAsia="vi-VN"/>
        </w:rPr>
        <w:t xml:space="preserve">- Hỗ trợ đào tạo lao động quản lý, kỹ thuật, thợ giỏi, nghệ nhân để hình thành đội ngũ giáo viên phục vụ chương trình đào tạo nghề, truyền nghề cho phát triển </w:t>
      </w:r>
      <w:r w:rsidR="00A51EB4">
        <w:rPr>
          <w:szCs w:val="28"/>
          <w:lang w:val="de-DE" w:eastAsia="vi-VN"/>
        </w:rPr>
        <w:t>CNNT</w:t>
      </w:r>
      <w:r w:rsidRPr="00356BF7">
        <w:rPr>
          <w:szCs w:val="28"/>
          <w:lang w:val="de-DE" w:eastAsia="vi-VN"/>
        </w:rPr>
        <w:t>.</w:t>
      </w:r>
    </w:p>
    <w:p w:rsidR="005405F3" w:rsidRPr="00356BF7" w:rsidRDefault="005405F3" w:rsidP="00E6676B">
      <w:pPr>
        <w:spacing w:after="120"/>
        <w:ind w:firstLine="624"/>
        <w:jc w:val="both"/>
        <w:rPr>
          <w:szCs w:val="28"/>
          <w:lang w:eastAsia="vi-VN"/>
        </w:rPr>
      </w:pPr>
      <w:r w:rsidRPr="00356BF7">
        <w:rPr>
          <w:szCs w:val="28"/>
          <w:lang w:val="de-DE" w:eastAsia="vi-VN"/>
        </w:rPr>
        <w:t xml:space="preserve">- Phối hợp với các trường dạy nghề, đại học và các ngành liên quan triển khai hỗ trợ đào tạo các ngành nghề có tính đặc thù, có kỹ thuật chuyên sâu đáp ứng nhu cầu đầu tư phát triển của các cơ sở </w:t>
      </w:r>
      <w:r w:rsidR="00A51EB4">
        <w:rPr>
          <w:szCs w:val="28"/>
          <w:lang w:val="de-DE" w:eastAsia="vi-VN"/>
        </w:rPr>
        <w:t>CNNT</w:t>
      </w:r>
      <w:r w:rsidRPr="00356BF7">
        <w:rPr>
          <w:szCs w:val="28"/>
          <w:lang w:val="de-DE" w:eastAsia="vi-VN"/>
        </w:rPr>
        <w:t xml:space="preserve"> góp phần thực hiện kế hoạch đào tạo nghề của tỉnh và trung ương.</w:t>
      </w:r>
    </w:p>
    <w:p w:rsidR="005405F3" w:rsidRPr="00356BF7" w:rsidRDefault="007028BB" w:rsidP="00E6676B">
      <w:pPr>
        <w:spacing w:after="120"/>
        <w:ind w:firstLine="624"/>
        <w:jc w:val="both"/>
        <w:rPr>
          <w:szCs w:val="28"/>
          <w:lang w:eastAsia="vi-VN"/>
        </w:rPr>
      </w:pPr>
      <w:r>
        <w:rPr>
          <w:szCs w:val="28"/>
          <w:lang w:val="de-DE" w:eastAsia="vi-VN"/>
        </w:rPr>
        <w:t xml:space="preserve">b) </w:t>
      </w:r>
      <w:r w:rsidR="005405F3" w:rsidRPr="00356BF7">
        <w:rPr>
          <w:szCs w:val="28"/>
          <w:lang w:val="de-DE" w:eastAsia="vi-VN"/>
        </w:rPr>
        <w:t>Dự kiến kết quả đạt được</w:t>
      </w:r>
      <w:r w:rsidR="00A83912">
        <w:rPr>
          <w:szCs w:val="28"/>
          <w:lang w:val="de-DE" w:eastAsia="vi-VN"/>
        </w:rPr>
        <w:t>:</w:t>
      </w:r>
      <w:r w:rsidR="005405F3" w:rsidRPr="00356BF7">
        <w:rPr>
          <w:szCs w:val="28"/>
          <w:lang w:val="de-DE" w:eastAsia="vi-VN"/>
        </w:rPr>
        <w:t xml:space="preserve"> </w:t>
      </w:r>
      <w:r>
        <w:rPr>
          <w:szCs w:val="28"/>
          <w:lang w:val="de-DE" w:eastAsia="vi-VN"/>
        </w:rPr>
        <w:t>Đ</w:t>
      </w:r>
      <w:r w:rsidR="005405F3" w:rsidRPr="00356BF7">
        <w:rPr>
          <w:szCs w:val="28"/>
          <w:lang w:val="de-DE" w:eastAsia="vi-VN"/>
        </w:rPr>
        <w:t xml:space="preserve">ào tạo lao động thành nghề cho </w:t>
      </w:r>
      <w:r>
        <w:rPr>
          <w:szCs w:val="28"/>
          <w:lang w:val="de-DE" w:eastAsia="vi-VN"/>
        </w:rPr>
        <w:t xml:space="preserve">khoảng </w:t>
      </w:r>
      <w:r w:rsidR="005405F3" w:rsidRPr="00356BF7">
        <w:rPr>
          <w:szCs w:val="28"/>
          <w:lang w:val="de-DE" w:eastAsia="vi-VN"/>
        </w:rPr>
        <w:t>1</w:t>
      </w:r>
      <w:r w:rsidR="00147D75">
        <w:rPr>
          <w:szCs w:val="28"/>
          <w:lang w:val="de-DE" w:eastAsia="vi-VN"/>
        </w:rPr>
        <w:t>.</w:t>
      </w:r>
      <w:r w:rsidR="005405F3" w:rsidRPr="00356BF7">
        <w:rPr>
          <w:szCs w:val="28"/>
          <w:lang w:val="de-DE" w:eastAsia="vi-VN"/>
        </w:rPr>
        <w:t>000 lượt người gắn với giải quyết việc làm tại các cơ sở, tạo thu nhập ổn định cuộc sống cho lao động tại các địa phương</w:t>
      </w:r>
      <w:r w:rsidR="00831BB0">
        <w:rPr>
          <w:szCs w:val="28"/>
          <w:lang w:val="de-DE" w:eastAsia="vi-VN"/>
        </w:rPr>
        <w:t>;</w:t>
      </w:r>
      <w:r w:rsidR="005405F3" w:rsidRPr="00356BF7">
        <w:rPr>
          <w:szCs w:val="28"/>
          <w:lang w:val="de-DE" w:eastAsia="vi-VN"/>
        </w:rPr>
        <w:t xml:space="preserve"> </w:t>
      </w:r>
      <w:r w:rsidR="00831BB0">
        <w:rPr>
          <w:szCs w:val="28"/>
          <w:lang w:val="de-DE" w:eastAsia="vi-VN"/>
        </w:rPr>
        <w:t>h</w:t>
      </w:r>
      <w:r w:rsidR="005405F3" w:rsidRPr="00356BF7">
        <w:rPr>
          <w:szCs w:val="28"/>
          <w:lang w:val="de-DE" w:eastAsia="vi-VN"/>
        </w:rPr>
        <w:t>ình thành đội ngũ cán bộ quản lý, kỹ thuật, nghệ nhân, thợ giỏi đảm bảo trình độ và số lượng đáp ứng đủ giáo viên truyền nghề cho các cơ sở phát triển sản xuất công nghiệp.</w:t>
      </w:r>
    </w:p>
    <w:p w:rsidR="005405F3" w:rsidRPr="00356BF7" w:rsidRDefault="007028BB" w:rsidP="00E6676B">
      <w:pPr>
        <w:spacing w:after="120"/>
        <w:ind w:firstLine="624"/>
        <w:jc w:val="both"/>
        <w:rPr>
          <w:szCs w:val="28"/>
          <w:lang w:eastAsia="vi-VN"/>
        </w:rPr>
      </w:pPr>
      <w:r>
        <w:rPr>
          <w:szCs w:val="28"/>
          <w:lang w:val="de-DE" w:eastAsia="vi-VN"/>
        </w:rPr>
        <w:t>c</w:t>
      </w:r>
      <w:r w:rsidR="005405F3" w:rsidRPr="00356BF7">
        <w:rPr>
          <w:szCs w:val="28"/>
          <w:lang w:val="de-DE" w:eastAsia="vi-VN"/>
        </w:rPr>
        <w:t xml:space="preserve">) </w:t>
      </w:r>
      <w:r w:rsidR="00EF3367" w:rsidRPr="00E00D44">
        <w:rPr>
          <w:szCs w:val="28"/>
          <w:lang w:eastAsia="vi-VN"/>
        </w:rPr>
        <w:t>K</w:t>
      </w:r>
      <w:r w:rsidR="005405F3" w:rsidRPr="00356BF7">
        <w:rPr>
          <w:szCs w:val="28"/>
          <w:lang w:eastAsia="vi-VN"/>
        </w:rPr>
        <w:t>inh phí thực hiện dự kiến</w:t>
      </w:r>
      <w:r w:rsidR="00CE564D">
        <w:rPr>
          <w:szCs w:val="28"/>
          <w:lang w:val="en-US" w:eastAsia="vi-VN"/>
        </w:rPr>
        <w:t>:</w:t>
      </w:r>
      <w:r w:rsidR="005405F3" w:rsidRPr="00356BF7">
        <w:rPr>
          <w:szCs w:val="28"/>
          <w:lang w:eastAsia="vi-VN"/>
        </w:rPr>
        <w:t xml:space="preserve"> </w:t>
      </w:r>
      <w:r w:rsidR="00147D75">
        <w:rPr>
          <w:szCs w:val="28"/>
          <w:lang w:val="de-DE" w:eastAsia="vi-VN"/>
        </w:rPr>
        <w:t>1.0</w:t>
      </w:r>
      <w:r w:rsidR="00FA55FA">
        <w:rPr>
          <w:szCs w:val="28"/>
          <w:lang w:val="de-DE" w:eastAsia="vi-VN"/>
        </w:rPr>
        <w:t>4</w:t>
      </w:r>
      <w:r w:rsidR="00147D75">
        <w:rPr>
          <w:szCs w:val="28"/>
          <w:lang w:val="de-DE" w:eastAsia="vi-VN"/>
        </w:rPr>
        <w:t>0</w:t>
      </w:r>
      <w:r w:rsidR="005405F3" w:rsidRPr="00356BF7">
        <w:rPr>
          <w:szCs w:val="28"/>
          <w:lang w:val="de-DE" w:eastAsia="vi-VN"/>
        </w:rPr>
        <w:t xml:space="preserve"> triệu</w:t>
      </w:r>
      <w:r w:rsidR="00E01F44">
        <w:rPr>
          <w:szCs w:val="28"/>
          <w:lang w:val="de-DE" w:eastAsia="vi-VN"/>
        </w:rPr>
        <w:t xml:space="preserve"> </w:t>
      </w:r>
      <w:r w:rsidR="005405F3" w:rsidRPr="00356BF7">
        <w:rPr>
          <w:szCs w:val="28"/>
          <w:lang w:val="de-DE" w:eastAsia="vi-VN"/>
        </w:rPr>
        <w:t>đồng.</w:t>
      </w:r>
    </w:p>
    <w:p w:rsidR="005405F3" w:rsidRPr="00356BF7" w:rsidRDefault="005405F3" w:rsidP="00E6676B">
      <w:pPr>
        <w:spacing w:after="120"/>
        <w:ind w:firstLine="624"/>
        <w:jc w:val="both"/>
        <w:rPr>
          <w:rFonts w:eastAsia="Times New Roman"/>
          <w:b/>
          <w:szCs w:val="28"/>
          <w:lang w:eastAsia="vi-VN"/>
        </w:rPr>
      </w:pPr>
      <w:r w:rsidRPr="00356BF7">
        <w:rPr>
          <w:rFonts w:eastAsia="Times New Roman"/>
          <w:b/>
          <w:szCs w:val="28"/>
          <w:lang w:val="de-DE" w:eastAsia="vi-VN"/>
        </w:rPr>
        <w:t xml:space="preserve">2. </w:t>
      </w:r>
      <w:r w:rsidR="00147D75">
        <w:rPr>
          <w:rFonts w:eastAsia="Times New Roman"/>
          <w:b/>
          <w:szCs w:val="28"/>
          <w:lang w:val="sv-SE" w:eastAsia="vi-VN"/>
        </w:rPr>
        <w:t>H</w:t>
      </w:r>
      <w:r w:rsidRPr="00356BF7">
        <w:rPr>
          <w:rFonts w:eastAsia="Times New Roman"/>
          <w:b/>
          <w:szCs w:val="28"/>
          <w:lang w:val="de-DE" w:eastAsia="vi-VN"/>
        </w:rPr>
        <w:t xml:space="preserve">ỗ trợ nâng cao năng lực quản lý, thành lập và khởi sự doanh nghiệp sản xuất </w:t>
      </w:r>
      <w:r w:rsidR="00A51EB4">
        <w:rPr>
          <w:rFonts w:eastAsia="Times New Roman"/>
          <w:b/>
          <w:szCs w:val="28"/>
          <w:lang w:val="de-DE" w:eastAsia="vi-VN"/>
        </w:rPr>
        <w:t>CNNT</w:t>
      </w:r>
    </w:p>
    <w:p w:rsidR="005405F3" w:rsidRPr="00BD59F1" w:rsidRDefault="005405F3" w:rsidP="00E6676B">
      <w:pPr>
        <w:spacing w:after="120"/>
        <w:ind w:firstLine="624"/>
        <w:jc w:val="both"/>
        <w:rPr>
          <w:szCs w:val="28"/>
          <w:lang w:val="en-US" w:eastAsia="vi-VN"/>
        </w:rPr>
      </w:pPr>
      <w:r w:rsidRPr="00356BF7">
        <w:rPr>
          <w:szCs w:val="28"/>
          <w:lang w:eastAsia="vi-VN"/>
        </w:rPr>
        <w:t>a) Nội dung thực hiện:</w:t>
      </w:r>
      <w:r w:rsidR="00425359">
        <w:rPr>
          <w:szCs w:val="28"/>
          <w:lang w:val="en-US" w:eastAsia="vi-VN"/>
        </w:rPr>
        <w:t xml:space="preserve"> </w:t>
      </w:r>
      <w:r w:rsidR="00A83912">
        <w:rPr>
          <w:lang w:val="en-US"/>
        </w:rPr>
        <w:t>H</w:t>
      </w:r>
      <w:r w:rsidR="00147D75" w:rsidRPr="00E23F27">
        <w:t xml:space="preserve">ỗ trợ hoạt động tư vấn, tập huấn, hội thảo, diễn đàn; mỗi năm tổ chức </w:t>
      </w:r>
      <w:r w:rsidR="00CF48DD">
        <w:rPr>
          <w:lang w:val="en-US"/>
        </w:rPr>
        <w:t xml:space="preserve">ít nhất </w:t>
      </w:r>
      <w:r w:rsidR="00147D75" w:rsidRPr="00E23F27">
        <w:t xml:space="preserve">01 đoàn cho các </w:t>
      </w:r>
      <w:r w:rsidR="00A83912" w:rsidRPr="00356BF7">
        <w:rPr>
          <w:szCs w:val="28"/>
          <w:lang w:val="sv-SE" w:eastAsia="vi-VN"/>
        </w:rPr>
        <w:t xml:space="preserve">cơ sở </w:t>
      </w:r>
      <w:r w:rsidR="00A51EB4">
        <w:rPr>
          <w:szCs w:val="28"/>
          <w:lang w:val="sv-SE" w:eastAsia="vi-VN"/>
        </w:rPr>
        <w:t>CNNT</w:t>
      </w:r>
      <w:r w:rsidR="00147D75" w:rsidRPr="00E23F27">
        <w:t xml:space="preserve"> và cán bộ quản lý các cấp tham quan, khảo sát học tập kinh nghiệm trong nước để nâng cao năng lực quản lý doanh nghiệp và năng lực áp dụng </w:t>
      </w:r>
      <w:r w:rsidR="00A51EB4">
        <w:t>SXSH</w:t>
      </w:r>
      <w:r w:rsidR="00147D75" w:rsidRPr="00E23F27">
        <w:t xml:space="preserve"> trong sản xuất công nghiệp; </w:t>
      </w:r>
      <w:r w:rsidR="00BD59F1">
        <w:rPr>
          <w:lang w:val="en-US"/>
        </w:rPr>
        <w:t>t</w:t>
      </w:r>
      <w:r w:rsidR="00BD59F1" w:rsidRPr="00BD59F1">
        <w:rPr>
          <w:lang w:val="en-US"/>
        </w:rPr>
        <w:t xml:space="preserve">ổ chức </w:t>
      </w:r>
      <w:r w:rsidR="00CF48DD">
        <w:rPr>
          <w:lang w:val="en-US"/>
        </w:rPr>
        <w:t xml:space="preserve">khoảng </w:t>
      </w:r>
      <w:r w:rsidR="00BD59F1" w:rsidRPr="00BD59F1">
        <w:rPr>
          <w:lang w:val="en-US"/>
        </w:rPr>
        <w:t>05 khóa đào tạo khởi sự doanh nghiệp, quản trị doanh nghiệp khoảng 150 người và</w:t>
      </w:r>
      <w:r w:rsidR="00CF48DD">
        <w:rPr>
          <w:lang w:val="en-US"/>
        </w:rPr>
        <w:t xml:space="preserve"> khoảng</w:t>
      </w:r>
      <w:r w:rsidR="00BD59F1" w:rsidRPr="00BD59F1">
        <w:rPr>
          <w:lang w:val="en-US"/>
        </w:rPr>
        <w:t xml:space="preserve"> 20 lớp tập huấn kiến thức về thương hiệu, </w:t>
      </w:r>
      <w:r w:rsidR="00BD59F1" w:rsidRPr="00BD59F1">
        <w:rPr>
          <w:lang w:val="en-US"/>
        </w:rPr>
        <w:lastRenderedPageBreak/>
        <w:t xml:space="preserve">nhãn hiệu sản phẩm, bán hàng, mở rộng thị trường, </w:t>
      </w:r>
      <w:r w:rsidR="00A51EB4">
        <w:rPr>
          <w:lang w:val="en-US"/>
        </w:rPr>
        <w:t>SXSH</w:t>
      </w:r>
      <w:r w:rsidR="00BD59F1" w:rsidRPr="00BD59F1">
        <w:rPr>
          <w:lang w:val="en-US"/>
        </w:rPr>
        <w:t xml:space="preserve"> cho khoảng 2.000 người.</w:t>
      </w:r>
    </w:p>
    <w:p w:rsidR="005405F3" w:rsidRPr="00356BF7" w:rsidRDefault="005405F3" w:rsidP="00E6676B">
      <w:pPr>
        <w:spacing w:after="120"/>
        <w:ind w:firstLine="624"/>
        <w:jc w:val="both"/>
        <w:rPr>
          <w:szCs w:val="28"/>
          <w:lang w:eastAsia="vi-VN"/>
        </w:rPr>
      </w:pPr>
      <w:r w:rsidRPr="00356BF7">
        <w:rPr>
          <w:szCs w:val="28"/>
          <w:lang w:eastAsia="vi-VN"/>
        </w:rPr>
        <w:t xml:space="preserve">b) </w:t>
      </w:r>
      <w:r w:rsidR="00EF3367" w:rsidRPr="00E00D44">
        <w:rPr>
          <w:szCs w:val="28"/>
          <w:lang w:eastAsia="vi-VN"/>
        </w:rPr>
        <w:t>K</w:t>
      </w:r>
      <w:r w:rsidRPr="00356BF7">
        <w:rPr>
          <w:szCs w:val="28"/>
          <w:lang w:eastAsia="vi-VN"/>
        </w:rPr>
        <w:t>inh phí thực hiện dự kiến là 1.0</w:t>
      </w:r>
      <w:r w:rsidR="00147D75" w:rsidRPr="00E00D44">
        <w:rPr>
          <w:szCs w:val="28"/>
          <w:lang w:eastAsia="vi-VN"/>
        </w:rPr>
        <w:t>0</w:t>
      </w:r>
      <w:r w:rsidRPr="00356BF7">
        <w:rPr>
          <w:szCs w:val="28"/>
          <w:lang w:eastAsia="vi-VN"/>
        </w:rPr>
        <w:t>0 triệu đồng.</w:t>
      </w:r>
    </w:p>
    <w:p w:rsidR="005405F3" w:rsidRPr="00356BF7" w:rsidRDefault="005405F3" w:rsidP="00E6676B">
      <w:pPr>
        <w:spacing w:after="120"/>
        <w:ind w:firstLine="624"/>
        <w:jc w:val="both"/>
        <w:rPr>
          <w:rFonts w:eastAsia="Times New Roman"/>
          <w:b/>
          <w:szCs w:val="28"/>
          <w:lang w:eastAsia="vi-VN"/>
        </w:rPr>
      </w:pPr>
      <w:r w:rsidRPr="00356BF7">
        <w:rPr>
          <w:rFonts w:eastAsia="Times New Roman"/>
          <w:b/>
          <w:szCs w:val="28"/>
          <w:lang w:eastAsia="vi-VN"/>
        </w:rPr>
        <w:t xml:space="preserve">3. </w:t>
      </w:r>
      <w:r w:rsidR="00147D75" w:rsidRPr="00E00D44">
        <w:rPr>
          <w:rFonts w:eastAsia="Times New Roman"/>
          <w:b/>
          <w:szCs w:val="28"/>
          <w:lang w:eastAsia="vi-VN"/>
        </w:rPr>
        <w:t>H</w:t>
      </w:r>
      <w:r w:rsidRPr="00356BF7">
        <w:rPr>
          <w:rFonts w:eastAsia="Times New Roman"/>
          <w:b/>
          <w:szCs w:val="28"/>
          <w:lang w:eastAsia="vi-VN"/>
        </w:rPr>
        <w:t xml:space="preserve">ỗ trợ </w:t>
      </w:r>
      <w:r w:rsidRPr="00356BF7">
        <w:rPr>
          <w:b/>
          <w:szCs w:val="28"/>
          <w:lang w:eastAsia="vi-VN"/>
        </w:rPr>
        <w:t>xây dựng mô hình trình diễn kỹ thuật; chuyển giao công nghệ và ứng dụng máy móc, thiết bị tiên tiến, dây chuyền công nghệ vào sản xuất công nghiệp và xử lý ô nhiễm môi trường</w:t>
      </w:r>
    </w:p>
    <w:p w:rsidR="005405F3" w:rsidRPr="00356BF7" w:rsidRDefault="005405F3" w:rsidP="00E6676B">
      <w:pPr>
        <w:spacing w:after="120"/>
        <w:ind w:firstLine="624"/>
        <w:jc w:val="both"/>
        <w:rPr>
          <w:szCs w:val="28"/>
          <w:lang w:eastAsia="vi-VN"/>
        </w:rPr>
      </w:pPr>
      <w:r w:rsidRPr="00356BF7">
        <w:rPr>
          <w:szCs w:val="28"/>
          <w:lang w:eastAsia="vi-VN"/>
        </w:rPr>
        <w:t>a) Nội dung thực hiện:</w:t>
      </w:r>
    </w:p>
    <w:p w:rsidR="005405F3" w:rsidRPr="00356BF7" w:rsidRDefault="005405F3" w:rsidP="00E6676B">
      <w:pPr>
        <w:spacing w:after="120"/>
        <w:ind w:firstLine="624"/>
        <w:jc w:val="both"/>
        <w:rPr>
          <w:szCs w:val="28"/>
          <w:lang w:eastAsia="vi-VN"/>
        </w:rPr>
      </w:pPr>
      <w:r w:rsidRPr="00356BF7">
        <w:rPr>
          <w:szCs w:val="28"/>
          <w:lang w:eastAsia="vi-VN"/>
        </w:rPr>
        <w:t>- Hỗ trợ xây dựng các mô hình trình diễn kỹ thuật đầu tư sản xuất sản phẩm mới hoặc công nghệ mới để khuyến khích hiện đại hóa công nghệ truyền thống và phát triển sản phẩm công nghiệp mới tại địa phương; các mô hình chế biến nguyên liệu tại các vùng nguyên liệu phân tán để cung cấp cho các cơ sở công nghiệp chế biến.</w:t>
      </w:r>
    </w:p>
    <w:p w:rsidR="005405F3" w:rsidRPr="00356BF7" w:rsidRDefault="005405F3" w:rsidP="00E6676B">
      <w:pPr>
        <w:spacing w:after="120"/>
        <w:ind w:firstLine="624"/>
        <w:jc w:val="both"/>
        <w:rPr>
          <w:szCs w:val="28"/>
          <w:lang w:eastAsia="vi-VN"/>
        </w:rPr>
      </w:pPr>
      <w:r w:rsidRPr="00356BF7">
        <w:rPr>
          <w:szCs w:val="28"/>
          <w:lang w:eastAsia="vi-VN"/>
        </w:rPr>
        <w:t>- Hỗ trợ ứng dụng máy móc, thiết bị tiên tiến, dây chuyền công nghệ, chuyển giao công nghệ tiến bộ khoa học kỹ thuật vào sản xuất công nghiệp, tiểu thủ công nghiệp.</w:t>
      </w:r>
    </w:p>
    <w:p w:rsidR="005405F3" w:rsidRPr="00356BF7" w:rsidRDefault="005405F3" w:rsidP="00E6676B">
      <w:pPr>
        <w:spacing w:after="120"/>
        <w:ind w:firstLine="624"/>
        <w:jc w:val="both"/>
        <w:rPr>
          <w:szCs w:val="28"/>
          <w:lang w:eastAsia="vi-VN"/>
        </w:rPr>
      </w:pPr>
      <w:r w:rsidRPr="0038704D">
        <w:rPr>
          <w:szCs w:val="28"/>
          <w:lang w:eastAsia="vi-VN"/>
        </w:rPr>
        <w:t xml:space="preserve">- Hỗ trợ xây dựng mô hình thí điểm về áp dụng </w:t>
      </w:r>
      <w:r w:rsidR="00A51EB4" w:rsidRPr="0038704D">
        <w:rPr>
          <w:szCs w:val="28"/>
          <w:lang w:eastAsia="vi-VN"/>
        </w:rPr>
        <w:t>SXSH</w:t>
      </w:r>
      <w:r w:rsidRPr="0038704D">
        <w:rPr>
          <w:szCs w:val="28"/>
          <w:lang w:eastAsia="vi-VN"/>
        </w:rPr>
        <w:t xml:space="preserve"> trong công nghiệp</w:t>
      </w:r>
      <w:r w:rsidR="00D27B8E" w:rsidRPr="0038704D">
        <w:rPr>
          <w:szCs w:val="28"/>
          <w:lang w:val="en-US" w:eastAsia="vi-VN"/>
        </w:rPr>
        <w:t xml:space="preserve"> và xử lý ô nhiêm môi trường</w:t>
      </w:r>
      <w:r w:rsidRPr="0038704D">
        <w:rPr>
          <w:szCs w:val="28"/>
          <w:lang w:eastAsia="vi-VN"/>
        </w:rPr>
        <w:t xml:space="preserve"> nhằm giúp doanh nghiệp giảm mức tiêu thụ nguyên, nhiên, vật liệu, tăng tỷ lệ tái sử dụng chất thải từ các giải pháp này giúp cho doanh nghiệp tăng nguồn tiết kiệm kinh tế; tạo điều kiện cho doanh nghiệp sản xuất công nghiệp tiếp cận công nghệ mới, thúc đẩy đầu tư phát triển sản xuất kinh doanh, tạo việc làm, tăng thu nhập cho người lao động.</w:t>
      </w:r>
    </w:p>
    <w:p w:rsidR="005405F3" w:rsidRPr="00AC6564" w:rsidRDefault="00147D75" w:rsidP="00E6676B">
      <w:pPr>
        <w:spacing w:after="120"/>
        <w:ind w:firstLine="624"/>
        <w:jc w:val="both"/>
      </w:pPr>
      <w:r w:rsidRPr="00E00D44">
        <w:rPr>
          <w:szCs w:val="28"/>
          <w:lang w:eastAsia="vi-VN"/>
        </w:rPr>
        <w:t>Giai đoạn 2021-2025</w:t>
      </w:r>
      <w:r w:rsidR="00A83912">
        <w:rPr>
          <w:szCs w:val="28"/>
          <w:lang w:val="en-US" w:eastAsia="vi-VN"/>
        </w:rPr>
        <w:t xml:space="preserve"> </w:t>
      </w:r>
      <w:r w:rsidRPr="00E00D44">
        <w:rPr>
          <w:szCs w:val="28"/>
          <w:lang w:eastAsia="vi-VN"/>
        </w:rPr>
        <w:t>h</w:t>
      </w:r>
      <w:r w:rsidRPr="00E23F27">
        <w:t>ỗ trợ xây dựng khoảng 10 mô hình trình diễn kỹ thuật vào sản xuất công nghiệp - tiểu thủ công nghiệp;</w:t>
      </w:r>
      <w:r w:rsidR="00E00D44" w:rsidRPr="00FA55FA">
        <w:t xml:space="preserve"> </w:t>
      </w:r>
      <w:r w:rsidR="00E00D44" w:rsidRPr="00E00D44">
        <w:t>0</w:t>
      </w:r>
      <w:r w:rsidR="00696DDC" w:rsidRPr="00696DDC">
        <w:t>4</w:t>
      </w:r>
      <w:r w:rsidRPr="00E23F27">
        <w:t xml:space="preserve"> mô hình thí điểm về áp dụng </w:t>
      </w:r>
      <w:r w:rsidR="00A51EB4">
        <w:t>SXSH</w:t>
      </w:r>
      <w:r w:rsidRPr="00E23F27">
        <w:t>;</w:t>
      </w:r>
      <w:r w:rsidR="00A83912">
        <w:rPr>
          <w:lang w:val="en-US"/>
        </w:rPr>
        <w:t xml:space="preserve"> </w:t>
      </w:r>
      <w:r w:rsidR="009B1432" w:rsidRPr="00E00D44">
        <w:t>h</w:t>
      </w:r>
      <w:r w:rsidRPr="00E23F27">
        <w:t xml:space="preserve">ỗ trợ khoảng </w:t>
      </w:r>
      <w:r w:rsidR="00696DDC" w:rsidRPr="00696DDC">
        <w:t>3</w:t>
      </w:r>
      <w:r w:rsidR="00696DDC" w:rsidRPr="00642CB3">
        <w:t>0</w:t>
      </w:r>
      <w:r w:rsidRPr="00E23F27">
        <w:t xml:space="preserve"> cơ sở ứng dụng máy móc, thiết bị tiên tiến, dây chuyền công nghệ; chuyển giao công nghệ, tiến bộ khoa học kỹ thuật vào sản xuất công nghiệp - tiểu thủ công nghiệp</w:t>
      </w:r>
      <w:r w:rsidR="00D27B8E" w:rsidRPr="00AC6564">
        <w:t xml:space="preserve"> và xử lý ô nhiễm môi trường</w:t>
      </w:r>
      <w:r w:rsidR="005405F3" w:rsidRPr="00AC6564">
        <w:t>.</w:t>
      </w:r>
    </w:p>
    <w:p w:rsidR="005405F3" w:rsidRDefault="005405F3" w:rsidP="00E6676B">
      <w:pPr>
        <w:spacing w:after="120"/>
        <w:ind w:firstLine="624"/>
        <w:jc w:val="both"/>
        <w:rPr>
          <w:szCs w:val="28"/>
          <w:lang w:val="en-US" w:eastAsia="vi-VN"/>
        </w:rPr>
      </w:pPr>
      <w:r w:rsidRPr="00356BF7">
        <w:rPr>
          <w:szCs w:val="28"/>
          <w:lang w:eastAsia="vi-VN"/>
        </w:rPr>
        <w:t xml:space="preserve">b) </w:t>
      </w:r>
      <w:r w:rsidR="00EF3367" w:rsidRPr="00E00D44">
        <w:rPr>
          <w:szCs w:val="28"/>
          <w:lang w:eastAsia="vi-VN"/>
        </w:rPr>
        <w:t>K</w:t>
      </w:r>
      <w:r w:rsidRPr="00356BF7">
        <w:rPr>
          <w:szCs w:val="28"/>
          <w:lang w:eastAsia="vi-VN"/>
        </w:rPr>
        <w:t xml:space="preserve">inh phí thực hiện </w:t>
      </w:r>
      <w:r w:rsidR="009B1432" w:rsidRPr="00E00D44">
        <w:rPr>
          <w:szCs w:val="28"/>
          <w:lang w:eastAsia="vi-VN"/>
        </w:rPr>
        <w:t>dự kiến là</w:t>
      </w:r>
      <w:r w:rsidRPr="00356BF7">
        <w:rPr>
          <w:szCs w:val="28"/>
          <w:lang w:eastAsia="vi-VN"/>
        </w:rPr>
        <w:t xml:space="preserve"> </w:t>
      </w:r>
      <w:r w:rsidR="00BD59F1">
        <w:rPr>
          <w:szCs w:val="28"/>
          <w:lang w:val="en-US" w:eastAsia="vi-VN"/>
        </w:rPr>
        <w:t xml:space="preserve">44.400 triệu đồng, trong đó ngân sách hỗ trợ là </w:t>
      </w:r>
      <w:r w:rsidRPr="00356BF7">
        <w:rPr>
          <w:szCs w:val="28"/>
          <w:lang w:eastAsia="vi-VN"/>
        </w:rPr>
        <w:t>1</w:t>
      </w:r>
      <w:r w:rsidR="00642CB3" w:rsidRPr="00412196">
        <w:rPr>
          <w:szCs w:val="28"/>
          <w:lang w:eastAsia="vi-VN"/>
        </w:rPr>
        <w:t>5</w:t>
      </w:r>
      <w:r w:rsidRPr="00356BF7">
        <w:rPr>
          <w:szCs w:val="28"/>
          <w:lang w:eastAsia="vi-VN"/>
        </w:rPr>
        <w:t>.</w:t>
      </w:r>
      <w:r w:rsidR="00642CB3" w:rsidRPr="00412196">
        <w:rPr>
          <w:szCs w:val="28"/>
          <w:lang w:eastAsia="vi-VN"/>
        </w:rPr>
        <w:t>6</w:t>
      </w:r>
      <w:r w:rsidRPr="00356BF7">
        <w:rPr>
          <w:szCs w:val="28"/>
          <w:lang w:eastAsia="vi-VN"/>
        </w:rPr>
        <w:t>00 triệu đồ</w:t>
      </w:r>
      <w:r w:rsidR="002746C7">
        <w:rPr>
          <w:szCs w:val="28"/>
          <w:lang w:eastAsia="vi-VN"/>
        </w:rPr>
        <w:t>ng</w:t>
      </w:r>
      <w:r w:rsidR="002746C7">
        <w:rPr>
          <w:szCs w:val="28"/>
          <w:lang w:val="en-US" w:eastAsia="vi-VN"/>
        </w:rPr>
        <w:t>; đối ứng từ các cơ sở hưởng lợi là 28.800 triệu đồng.</w:t>
      </w:r>
    </w:p>
    <w:p w:rsidR="005405F3" w:rsidRPr="00356BF7" w:rsidRDefault="005405F3" w:rsidP="00E6676B">
      <w:pPr>
        <w:spacing w:after="120"/>
        <w:ind w:firstLine="624"/>
        <w:jc w:val="both"/>
        <w:rPr>
          <w:rFonts w:eastAsia="Times New Roman"/>
          <w:b/>
          <w:szCs w:val="28"/>
          <w:lang w:val="sv-SE" w:eastAsia="vi-VN"/>
        </w:rPr>
      </w:pPr>
      <w:r w:rsidRPr="00356BF7">
        <w:rPr>
          <w:rFonts w:eastAsia="Times New Roman"/>
          <w:b/>
          <w:szCs w:val="28"/>
          <w:lang w:eastAsia="vi-VN"/>
        </w:rPr>
        <w:t xml:space="preserve">4. </w:t>
      </w:r>
      <w:r w:rsidR="009B1432" w:rsidRPr="00E00D44">
        <w:rPr>
          <w:rFonts w:eastAsia="Times New Roman"/>
          <w:b/>
          <w:szCs w:val="28"/>
          <w:lang w:eastAsia="vi-VN"/>
        </w:rPr>
        <w:t>Hỗ trợ p</w:t>
      </w:r>
      <w:r w:rsidRPr="00356BF7">
        <w:rPr>
          <w:rFonts w:eastAsia="Times New Roman"/>
          <w:b/>
          <w:szCs w:val="28"/>
          <w:lang w:eastAsia="vi-VN"/>
        </w:rPr>
        <w:t xml:space="preserve">hát triển sản phẩm </w:t>
      </w:r>
      <w:r w:rsidR="00A51EB4">
        <w:rPr>
          <w:rFonts w:eastAsia="Times New Roman"/>
          <w:b/>
          <w:szCs w:val="28"/>
          <w:lang w:eastAsia="vi-VN"/>
        </w:rPr>
        <w:t>CNNT</w:t>
      </w:r>
      <w:r w:rsidRPr="00356BF7">
        <w:rPr>
          <w:rFonts w:eastAsia="Times New Roman"/>
          <w:b/>
          <w:szCs w:val="28"/>
          <w:lang w:eastAsia="vi-VN"/>
        </w:rPr>
        <w:t xml:space="preserve"> tiêu biểu</w:t>
      </w:r>
    </w:p>
    <w:p w:rsidR="005405F3" w:rsidRPr="00356BF7" w:rsidRDefault="005405F3" w:rsidP="00E6676B">
      <w:pPr>
        <w:spacing w:after="120"/>
        <w:ind w:firstLine="624"/>
        <w:jc w:val="both"/>
        <w:rPr>
          <w:szCs w:val="28"/>
          <w:lang w:eastAsia="vi-VN"/>
        </w:rPr>
      </w:pPr>
      <w:r w:rsidRPr="00356BF7">
        <w:rPr>
          <w:szCs w:val="28"/>
          <w:lang w:eastAsia="vi-VN"/>
        </w:rPr>
        <w:t>a) Nội dung thực hiện:</w:t>
      </w:r>
    </w:p>
    <w:p w:rsidR="005405F3" w:rsidRPr="00356BF7" w:rsidRDefault="005405F3" w:rsidP="00E6676B">
      <w:pPr>
        <w:spacing w:after="120"/>
        <w:ind w:firstLine="624"/>
        <w:jc w:val="both"/>
        <w:rPr>
          <w:szCs w:val="28"/>
          <w:lang w:eastAsia="vi-VN"/>
        </w:rPr>
      </w:pPr>
      <w:r w:rsidRPr="00356BF7">
        <w:rPr>
          <w:szCs w:val="28"/>
          <w:lang w:eastAsia="vi-VN"/>
        </w:rPr>
        <w:t xml:space="preserve">- Tổ chức bình chọn sản phẩm </w:t>
      </w:r>
      <w:r w:rsidR="00A51EB4">
        <w:rPr>
          <w:szCs w:val="28"/>
          <w:lang w:eastAsia="vi-VN"/>
        </w:rPr>
        <w:t>CNNT</w:t>
      </w:r>
      <w:r w:rsidR="00A83912">
        <w:rPr>
          <w:szCs w:val="28"/>
          <w:lang w:val="en-US" w:eastAsia="vi-VN"/>
        </w:rPr>
        <w:t xml:space="preserve"> </w:t>
      </w:r>
      <w:r w:rsidRPr="00356BF7">
        <w:rPr>
          <w:szCs w:val="28"/>
          <w:lang w:eastAsia="vi-VN"/>
        </w:rPr>
        <w:t xml:space="preserve">tiêu biểu cấp tỉnh. Hỗ trợ sản phẩm </w:t>
      </w:r>
      <w:r w:rsidR="00A51EB4">
        <w:rPr>
          <w:szCs w:val="28"/>
          <w:lang w:eastAsia="vi-VN"/>
        </w:rPr>
        <w:t>CNNT</w:t>
      </w:r>
      <w:r w:rsidRPr="00356BF7">
        <w:rPr>
          <w:szCs w:val="28"/>
          <w:lang w:eastAsia="vi-VN"/>
        </w:rPr>
        <w:t xml:space="preserve"> tiêu biểu cấp tỉnh tham gia bình chọn sản phẩm </w:t>
      </w:r>
      <w:r w:rsidR="00A51EB4">
        <w:rPr>
          <w:szCs w:val="28"/>
          <w:lang w:eastAsia="vi-VN"/>
        </w:rPr>
        <w:t>CNNT</w:t>
      </w:r>
      <w:r w:rsidRPr="00356BF7">
        <w:rPr>
          <w:szCs w:val="28"/>
          <w:lang w:eastAsia="vi-VN"/>
        </w:rPr>
        <w:t xml:space="preserve"> tiêu biểu cấp khu vực, quố</w:t>
      </w:r>
      <w:r w:rsidR="00A83912">
        <w:rPr>
          <w:szCs w:val="28"/>
          <w:lang w:eastAsia="vi-VN"/>
        </w:rPr>
        <w:t>c gia</w:t>
      </w:r>
      <w:r w:rsidRPr="00356BF7">
        <w:rPr>
          <w:szCs w:val="28"/>
          <w:lang w:eastAsia="vi-VN"/>
        </w:rPr>
        <w:t xml:space="preserve">. Tổ chức gian hàng trưng bày, giới thiệu thành tựu và sản phẩm </w:t>
      </w:r>
      <w:r w:rsidR="00A51EB4">
        <w:rPr>
          <w:szCs w:val="28"/>
          <w:lang w:eastAsia="vi-VN"/>
        </w:rPr>
        <w:t>CNNT</w:t>
      </w:r>
      <w:r w:rsidRPr="00356BF7">
        <w:rPr>
          <w:szCs w:val="28"/>
          <w:lang w:eastAsia="vi-VN"/>
        </w:rPr>
        <w:t xml:space="preserve"> của tỉnh tại các Hội chợ triễn lãm hàng </w:t>
      </w:r>
      <w:r w:rsidR="00A51EB4">
        <w:rPr>
          <w:szCs w:val="28"/>
          <w:lang w:eastAsia="vi-VN"/>
        </w:rPr>
        <w:t>CNNT</w:t>
      </w:r>
      <w:r w:rsidRPr="00356BF7">
        <w:rPr>
          <w:szCs w:val="28"/>
          <w:lang w:eastAsia="vi-VN"/>
        </w:rPr>
        <w:t xml:space="preserve"> cấp khu vực, quốc gia.</w:t>
      </w:r>
    </w:p>
    <w:p w:rsidR="005405F3" w:rsidRPr="00356BF7" w:rsidRDefault="005405F3" w:rsidP="00E6676B">
      <w:pPr>
        <w:spacing w:after="120"/>
        <w:ind w:firstLine="624"/>
        <w:jc w:val="both"/>
        <w:rPr>
          <w:szCs w:val="28"/>
          <w:lang w:eastAsia="vi-VN"/>
        </w:rPr>
      </w:pPr>
      <w:r w:rsidRPr="00356BF7">
        <w:rPr>
          <w:szCs w:val="28"/>
          <w:lang w:eastAsia="vi-VN"/>
        </w:rPr>
        <w:t xml:space="preserve">- Hỗ trợ các cơ sở </w:t>
      </w:r>
      <w:r w:rsidR="00A51EB4">
        <w:rPr>
          <w:szCs w:val="28"/>
          <w:lang w:eastAsia="vi-VN"/>
        </w:rPr>
        <w:t>CNNT</w:t>
      </w:r>
      <w:r w:rsidRPr="00356BF7">
        <w:rPr>
          <w:szCs w:val="28"/>
          <w:lang w:eastAsia="vi-VN"/>
        </w:rPr>
        <w:t xml:space="preserve"> tham gia hội chợ triển lãm và đầu tư các phòng trưng bày để giới thiệu quảng bá sản phẩm; và các hoạt động xúc tiến thương mại khác cho các cơ sở </w:t>
      </w:r>
      <w:r w:rsidR="00A51EB4">
        <w:rPr>
          <w:szCs w:val="28"/>
          <w:lang w:eastAsia="vi-VN"/>
        </w:rPr>
        <w:t>CNNT</w:t>
      </w:r>
      <w:r w:rsidRPr="00356BF7">
        <w:rPr>
          <w:szCs w:val="28"/>
          <w:lang w:eastAsia="vi-VN"/>
        </w:rPr>
        <w:t>.</w:t>
      </w:r>
    </w:p>
    <w:p w:rsidR="005405F3" w:rsidRPr="00356BF7" w:rsidRDefault="005405F3" w:rsidP="00E6676B">
      <w:pPr>
        <w:spacing w:after="120"/>
        <w:ind w:firstLine="624"/>
        <w:jc w:val="both"/>
        <w:rPr>
          <w:szCs w:val="28"/>
          <w:lang w:eastAsia="vi-VN"/>
        </w:rPr>
      </w:pPr>
      <w:r w:rsidRPr="00356BF7">
        <w:rPr>
          <w:szCs w:val="28"/>
          <w:lang w:eastAsia="vi-VN"/>
        </w:rPr>
        <w:t xml:space="preserve">Dự kiến tổ chức 03 lần bình chọn sản phẩm </w:t>
      </w:r>
      <w:r w:rsidR="00A51EB4">
        <w:rPr>
          <w:szCs w:val="28"/>
          <w:lang w:eastAsia="vi-VN"/>
        </w:rPr>
        <w:t>CNNT</w:t>
      </w:r>
      <w:r w:rsidRPr="00356BF7">
        <w:rPr>
          <w:szCs w:val="28"/>
          <w:lang w:eastAsia="vi-VN"/>
        </w:rPr>
        <w:t xml:space="preserve"> tiêu biểu cấp tỉnh;</w:t>
      </w:r>
      <w:r w:rsidR="00412196" w:rsidRPr="00412196">
        <w:rPr>
          <w:szCs w:val="28"/>
          <w:lang w:eastAsia="vi-VN"/>
        </w:rPr>
        <w:t xml:space="preserve"> tham gia 3 lần bình chọn cấp quốc gia và 02 lần cấp khu vực</w:t>
      </w:r>
      <w:r w:rsidR="00412196" w:rsidRPr="0027111F">
        <w:rPr>
          <w:szCs w:val="28"/>
          <w:lang w:eastAsia="vi-VN"/>
        </w:rPr>
        <w:t>;</w:t>
      </w:r>
      <w:r w:rsidRPr="00356BF7">
        <w:rPr>
          <w:szCs w:val="28"/>
          <w:lang w:eastAsia="vi-VN"/>
        </w:rPr>
        <w:t xml:space="preserve"> 05 lần tổ chức gian hàng </w:t>
      </w:r>
      <w:r w:rsidRPr="00356BF7">
        <w:rPr>
          <w:szCs w:val="28"/>
          <w:lang w:eastAsia="vi-VN"/>
        </w:rPr>
        <w:lastRenderedPageBreak/>
        <w:t>giới thiệu sản phẩm công nghiệp - tiểu thủ công nghiệp của tỉnh tham gia Hội chợ triển lãm hàng CNNT cấp khu vực; hỗ trợ xây dựng phòng trưng bày và giới thiệu sản phẩm cho 0</w:t>
      </w:r>
      <w:r w:rsidR="00412196" w:rsidRPr="00412196">
        <w:rPr>
          <w:szCs w:val="28"/>
          <w:lang w:eastAsia="vi-VN"/>
        </w:rPr>
        <w:t>7</w:t>
      </w:r>
      <w:r w:rsidRPr="00356BF7">
        <w:rPr>
          <w:szCs w:val="28"/>
          <w:lang w:eastAsia="vi-VN"/>
        </w:rPr>
        <w:t xml:space="preserve"> cơ sở CNNT có sản phẩm CNNT tiêu biểu cấp tỉnh, cấp khu vực và cấp quốc gia; hỗ trợ xây dựng </w:t>
      </w:r>
      <w:r w:rsidR="001C4AA4" w:rsidRPr="001C4AA4">
        <w:rPr>
          <w:szCs w:val="28"/>
          <w:lang w:eastAsia="vi-VN"/>
        </w:rPr>
        <w:t>1</w:t>
      </w:r>
      <w:r w:rsidR="00412196" w:rsidRPr="00412196">
        <w:rPr>
          <w:szCs w:val="28"/>
          <w:lang w:eastAsia="vi-VN"/>
        </w:rPr>
        <w:t>5</w:t>
      </w:r>
      <w:r w:rsidRPr="00356BF7">
        <w:rPr>
          <w:szCs w:val="28"/>
          <w:lang w:eastAsia="vi-VN"/>
        </w:rPr>
        <w:t xml:space="preserve"> nhãn hiệu sản phẩm. </w:t>
      </w:r>
    </w:p>
    <w:p w:rsidR="005405F3" w:rsidRDefault="005405F3" w:rsidP="00E6676B">
      <w:pPr>
        <w:spacing w:after="120"/>
        <w:ind w:firstLine="624"/>
        <w:jc w:val="both"/>
        <w:rPr>
          <w:szCs w:val="28"/>
          <w:lang w:val="en-US" w:eastAsia="vi-VN"/>
        </w:rPr>
      </w:pPr>
      <w:r w:rsidRPr="00356BF7">
        <w:rPr>
          <w:szCs w:val="28"/>
          <w:lang w:eastAsia="vi-VN"/>
        </w:rPr>
        <w:t xml:space="preserve">b) </w:t>
      </w:r>
      <w:r w:rsidR="009B1432" w:rsidRPr="00E00D44">
        <w:rPr>
          <w:szCs w:val="28"/>
          <w:lang w:eastAsia="vi-VN"/>
        </w:rPr>
        <w:t>K</w:t>
      </w:r>
      <w:r w:rsidR="009B1432" w:rsidRPr="00356BF7">
        <w:rPr>
          <w:szCs w:val="28"/>
          <w:lang w:eastAsia="vi-VN"/>
        </w:rPr>
        <w:t xml:space="preserve">inh phí thực hiện </w:t>
      </w:r>
      <w:r w:rsidR="009B1432" w:rsidRPr="00E00D44">
        <w:rPr>
          <w:szCs w:val="28"/>
          <w:lang w:eastAsia="vi-VN"/>
        </w:rPr>
        <w:t>dự kiến</w:t>
      </w:r>
      <w:r w:rsidR="00425359">
        <w:rPr>
          <w:szCs w:val="28"/>
          <w:lang w:val="en-US" w:eastAsia="vi-VN"/>
        </w:rPr>
        <w:t>:</w:t>
      </w:r>
      <w:r w:rsidR="009B1432" w:rsidRPr="00E00D44">
        <w:rPr>
          <w:szCs w:val="28"/>
          <w:lang w:eastAsia="vi-VN"/>
        </w:rPr>
        <w:t xml:space="preserve"> </w:t>
      </w:r>
      <w:r w:rsidR="00BD59F1">
        <w:rPr>
          <w:szCs w:val="28"/>
          <w:lang w:val="en-US" w:eastAsia="vi-VN"/>
        </w:rPr>
        <w:t>3.140 triệu đồng</w:t>
      </w:r>
      <w:r w:rsidR="00425359">
        <w:rPr>
          <w:szCs w:val="28"/>
          <w:lang w:val="en-US" w:eastAsia="vi-VN"/>
        </w:rPr>
        <w:t>;</w:t>
      </w:r>
      <w:r w:rsidR="00BD59F1">
        <w:rPr>
          <w:szCs w:val="28"/>
          <w:lang w:val="en-US" w:eastAsia="vi-VN"/>
        </w:rPr>
        <w:t xml:space="preserve"> trong đó ngân sách hỗ trợ thực hiện là </w:t>
      </w:r>
      <w:r w:rsidR="009B1432" w:rsidRPr="00E00D44">
        <w:rPr>
          <w:szCs w:val="28"/>
          <w:lang w:eastAsia="vi-VN"/>
        </w:rPr>
        <w:t>2</w:t>
      </w:r>
      <w:r w:rsidR="009B1432" w:rsidRPr="00356BF7">
        <w:rPr>
          <w:szCs w:val="28"/>
          <w:lang w:eastAsia="vi-VN"/>
        </w:rPr>
        <w:t>.</w:t>
      </w:r>
      <w:r w:rsidR="0027111F" w:rsidRPr="00C12730">
        <w:rPr>
          <w:szCs w:val="28"/>
          <w:lang w:eastAsia="vi-VN"/>
        </w:rPr>
        <w:t>685</w:t>
      </w:r>
      <w:r w:rsidR="009B1432" w:rsidRPr="00356BF7">
        <w:rPr>
          <w:szCs w:val="28"/>
          <w:lang w:eastAsia="vi-VN"/>
        </w:rPr>
        <w:t xml:space="preserve"> triệu đồng</w:t>
      </w:r>
      <w:r w:rsidR="002746C7">
        <w:rPr>
          <w:szCs w:val="28"/>
          <w:lang w:val="en-US" w:eastAsia="vi-VN"/>
        </w:rPr>
        <w:t>; phần đối ứng từ các cơ sở là 455 triệu đồng.</w:t>
      </w:r>
    </w:p>
    <w:p w:rsidR="00A0714D" w:rsidRPr="00E00D44" w:rsidRDefault="005405F3" w:rsidP="00E6676B">
      <w:pPr>
        <w:spacing w:after="120"/>
        <w:ind w:firstLine="624"/>
        <w:jc w:val="both"/>
        <w:rPr>
          <w:b/>
        </w:rPr>
      </w:pPr>
      <w:r w:rsidRPr="00356BF7">
        <w:rPr>
          <w:rFonts w:eastAsia="Times New Roman"/>
          <w:b/>
          <w:szCs w:val="28"/>
          <w:lang w:val="sv-SE" w:eastAsia="vi-VN"/>
        </w:rPr>
        <w:t>5</w:t>
      </w:r>
      <w:r w:rsidRPr="00356BF7">
        <w:rPr>
          <w:rFonts w:eastAsia="Times New Roman"/>
          <w:b/>
          <w:szCs w:val="28"/>
          <w:lang w:eastAsia="vi-VN"/>
        </w:rPr>
        <w:t xml:space="preserve">. </w:t>
      </w:r>
      <w:r w:rsidR="009B1432" w:rsidRPr="009B1432">
        <w:rPr>
          <w:b/>
        </w:rPr>
        <w:t xml:space="preserve">Hỗ trợ tư vấn, trợ giúp các cơ sở CNNT: </w:t>
      </w:r>
      <w:r w:rsidR="00A51EB4">
        <w:rPr>
          <w:b/>
          <w:lang w:val="en-US"/>
        </w:rPr>
        <w:t>h</w:t>
      </w:r>
      <w:r w:rsidR="009B1432" w:rsidRPr="009B1432">
        <w:rPr>
          <w:b/>
        </w:rPr>
        <w:t>ỗ trợ cơ sở CNNT lập dự án đầu tư, thành lập doanh nghiệp</w:t>
      </w:r>
      <w:r w:rsidR="00A0714D" w:rsidRPr="00E00D44">
        <w:rPr>
          <w:b/>
        </w:rPr>
        <w:t xml:space="preserve">; </w:t>
      </w:r>
      <w:r w:rsidR="00A0714D" w:rsidRPr="00A0714D">
        <w:rPr>
          <w:b/>
        </w:rPr>
        <w:t>cung cấp thông tin về chính sách phát triển công nghiệp, khuyến công</w:t>
      </w:r>
      <w:r w:rsidR="00A0714D" w:rsidRPr="00E00D44">
        <w:rPr>
          <w:b/>
        </w:rPr>
        <w:t>.</w:t>
      </w:r>
    </w:p>
    <w:p w:rsidR="005405F3" w:rsidRPr="00356BF7" w:rsidRDefault="005405F3" w:rsidP="00E6676B">
      <w:pPr>
        <w:spacing w:after="120"/>
        <w:ind w:firstLine="624"/>
        <w:jc w:val="both"/>
        <w:rPr>
          <w:szCs w:val="28"/>
          <w:lang w:eastAsia="vi-VN"/>
        </w:rPr>
      </w:pPr>
      <w:r w:rsidRPr="00356BF7">
        <w:rPr>
          <w:szCs w:val="28"/>
          <w:lang w:eastAsia="vi-VN"/>
        </w:rPr>
        <w:t>a) Nội dung thực hiện:</w:t>
      </w:r>
    </w:p>
    <w:p w:rsidR="005405F3" w:rsidRPr="00356BF7" w:rsidRDefault="005405F3" w:rsidP="00E6676B">
      <w:pPr>
        <w:spacing w:after="120"/>
        <w:ind w:firstLine="624"/>
        <w:jc w:val="both"/>
        <w:rPr>
          <w:rFonts w:eastAsia="Times New Roman"/>
          <w:szCs w:val="28"/>
          <w:lang w:eastAsia="vi-VN"/>
        </w:rPr>
      </w:pPr>
      <w:r w:rsidRPr="00356BF7">
        <w:rPr>
          <w:rFonts w:eastAsia="Times New Roman"/>
          <w:szCs w:val="28"/>
          <w:lang w:eastAsia="vi-VN"/>
        </w:rPr>
        <w:t xml:space="preserve">- Hỗ trợ hoạt động tư vấn cho các cơ sở </w:t>
      </w:r>
      <w:r w:rsidR="00A51EB4">
        <w:rPr>
          <w:rFonts w:eastAsia="Times New Roman"/>
          <w:szCs w:val="28"/>
          <w:lang w:eastAsia="vi-VN"/>
        </w:rPr>
        <w:t>CNNT</w:t>
      </w:r>
      <w:r w:rsidRPr="00356BF7">
        <w:rPr>
          <w:rFonts w:eastAsia="Times New Roman"/>
          <w:szCs w:val="28"/>
          <w:lang w:eastAsia="vi-VN"/>
        </w:rPr>
        <w:t xml:space="preserve"> trong lĩnh vực lập dự án đầu tư; quản trị doanh nghiệp; thành lập doanh nghiệp; liên doanh, liên kết trong sản xuất kinh doanh; ứng dụng công nghệ - thiết bị mới; thiết kế mẫu mã, bao bì đóng gói. Tư vấn hướng dẫn, hỗ trợ các tổ chức cá nhân tiếp cận các chính sách ưu đãi đầu tư; chính sách đất đai; chính sách khoa học công nghệ; chính sách tài chính - tín dụng và các chính sách ưu đãi khác của Nhà nước.</w:t>
      </w:r>
    </w:p>
    <w:p w:rsidR="005405F3" w:rsidRPr="00356BF7" w:rsidRDefault="005405F3" w:rsidP="00E6676B">
      <w:pPr>
        <w:spacing w:after="120"/>
        <w:ind w:firstLine="624"/>
        <w:jc w:val="both"/>
        <w:rPr>
          <w:rFonts w:eastAsia="Times New Roman"/>
          <w:szCs w:val="28"/>
          <w:lang w:eastAsia="vi-VN"/>
        </w:rPr>
      </w:pPr>
      <w:r w:rsidRPr="00356BF7">
        <w:rPr>
          <w:rFonts w:eastAsia="Times New Roman"/>
          <w:szCs w:val="28"/>
          <w:lang w:eastAsia="vi-VN"/>
        </w:rPr>
        <w:t xml:space="preserve">- Xây dựng và phát triển hoạt động tư vấn khuyến công qua các hình thức điểm tư vấn cố định; tư vấn trực tiếp cho các cơ sở </w:t>
      </w:r>
      <w:r w:rsidR="00A51EB4">
        <w:rPr>
          <w:rFonts w:eastAsia="Times New Roman"/>
          <w:szCs w:val="28"/>
          <w:lang w:eastAsia="vi-VN"/>
        </w:rPr>
        <w:t>CNNT</w:t>
      </w:r>
      <w:r w:rsidRPr="00356BF7">
        <w:rPr>
          <w:rFonts w:eastAsia="Times New Roman"/>
          <w:szCs w:val="28"/>
          <w:lang w:eastAsia="vi-VN"/>
        </w:rPr>
        <w:t>; tư vấn qua mạng internet và các phương tiện thông tin đại chúng; xây dựng cơ sở dữ liệu về phát triển công nghiệp, tiểu thủ công nghiệp.</w:t>
      </w:r>
    </w:p>
    <w:p w:rsidR="005405F3" w:rsidRPr="00356BF7" w:rsidRDefault="005405F3" w:rsidP="00E6676B">
      <w:pPr>
        <w:spacing w:after="120"/>
        <w:ind w:firstLine="624"/>
        <w:jc w:val="both"/>
        <w:rPr>
          <w:szCs w:val="28"/>
          <w:lang w:eastAsia="vi-VN"/>
        </w:rPr>
      </w:pPr>
      <w:r w:rsidRPr="00356BF7">
        <w:rPr>
          <w:szCs w:val="28"/>
          <w:lang w:eastAsia="vi-VN"/>
        </w:rPr>
        <w:t xml:space="preserve">- Xây dựng các chương trình truyền hình, truyền thanh, bản tin, ấn phẩm,xây dựng trung tâm dữ liệu, trang thông tin điện tử; tờ rơi, tập gấp và các hình thức thông tin đại chúng khác để cung cấp thông tin cho các cơ sở </w:t>
      </w:r>
      <w:r w:rsidR="00A51EB4">
        <w:rPr>
          <w:szCs w:val="28"/>
          <w:lang w:eastAsia="vi-VN"/>
        </w:rPr>
        <w:t>CNNT</w:t>
      </w:r>
      <w:r w:rsidRPr="00356BF7">
        <w:rPr>
          <w:szCs w:val="28"/>
          <w:lang w:eastAsia="vi-VN"/>
        </w:rPr>
        <w:t xml:space="preserve"> về chính sách phát triển công nghiệp, thông tin thị trường, phổ biến kinh nghiệm, mô hình sản xuất kinh doanh điển hình; </w:t>
      </w:r>
      <w:r w:rsidR="00A51EB4">
        <w:rPr>
          <w:szCs w:val="28"/>
          <w:lang w:eastAsia="vi-VN"/>
        </w:rPr>
        <w:t>SXSH</w:t>
      </w:r>
      <w:r w:rsidRPr="00356BF7">
        <w:rPr>
          <w:szCs w:val="28"/>
          <w:lang w:eastAsia="vi-VN"/>
        </w:rPr>
        <w:t xml:space="preserve"> trong sản xuất công nghiệp…</w:t>
      </w:r>
    </w:p>
    <w:p w:rsidR="005405F3" w:rsidRPr="00356BF7" w:rsidRDefault="005405F3" w:rsidP="00E6676B">
      <w:pPr>
        <w:spacing w:after="120"/>
        <w:ind w:firstLine="624"/>
        <w:jc w:val="both"/>
        <w:rPr>
          <w:szCs w:val="28"/>
          <w:lang w:eastAsia="vi-VN"/>
        </w:rPr>
      </w:pPr>
      <w:r w:rsidRPr="00356BF7">
        <w:rPr>
          <w:szCs w:val="28"/>
          <w:lang w:eastAsia="vi-VN"/>
        </w:rPr>
        <w:t>Dự kiến xây dựng 1</w:t>
      </w:r>
      <w:r w:rsidR="00C12730" w:rsidRPr="00C12730">
        <w:rPr>
          <w:szCs w:val="28"/>
          <w:lang w:eastAsia="vi-VN"/>
        </w:rPr>
        <w:t>1</w:t>
      </w:r>
      <w:r w:rsidRPr="00356BF7">
        <w:rPr>
          <w:szCs w:val="28"/>
          <w:lang w:eastAsia="vi-VN"/>
        </w:rPr>
        <w:t xml:space="preserve"> chương trình truyền hình, truyền thanh; 03 lượt xuất bản ấn phẩm, tờ rơi, tờ gấp và các hình thức tuyên truyền khác.</w:t>
      </w:r>
    </w:p>
    <w:p w:rsidR="005405F3" w:rsidRPr="00356BF7" w:rsidRDefault="005405F3" w:rsidP="00E6676B">
      <w:pPr>
        <w:spacing w:after="120"/>
        <w:ind w:firstLine="624"/>
        <w:jc w:val="both"/>
        <w:rPr>
          <w:szCs w:val="28"/>
          <w:lang w:eastAsia="vi-VN"/>
        </w:rPr>
      </w:pPr>
      <w:r w:rsidRPr="00356BF7">
        <w:rPr>
          <w:szCs w:val="28"/>
          <w:lang w:eastAsia="vi-VN"/>
        </w:rPr>
        <w:t xml:space="preserve">b) </w:t>
      </w:r>
      <w:r w:rsidR="00EF3367" w:rsidRPr="00E00D44">
        <w:rPr>
          <w:szCs w:val="28"/>
          <w:lang w:eastAsia="vi-VN"/>
        </w:rPr>
        <w:t>K</w:t>
      </w:r>
      <w:r w:rsidRPr="00356BF7">
        <w:rPr>
          <w:szCs w:val="28"/>
          <w:lang w:eastAsia="vi-VN"/>
        </w:rPr>
        <w:t>inh phí thực hiện dự kiến</w:t>
      </w:r>
      <w:r w:rsidR="00425359">
        <w:rPr>
          <w:szCs w:val="28"/>
          <w:lang w:val="en-US" w:eastAsia="vi-VN"/>
        </w:rPr>
        <w:t>:</w:t>
      </w:r>
      <w:r w:rsidRPr="00356BF7">
        <w:rPr>
          <w:szCs w:val="28"/>
          <w:lang w:eastAsia="vi-VN"/>
        </w:rPr>
        <w:t xml:space="preserve"> </w:t>
      </w:r>
      <w:r w:rsidR="00C12730" w:rsidRPr="003075C3">
        <w:rPr>
          <w:szCs w:val="28"/>
          <w:lang w:eastAsia="vi-VN"/>
        </w:rPr>
        <w:t>585</w:t>
      </w:r>
      <w:r w:rsidRPr="00356BF7">
        <w:rPr>
          <w:szCs w:val="28"/>
          <w:lang w:eastAsia="vi-VN"/>
        </w:rPr>
        <w:t xml:space="preserve"> triệu đồng.</w:t>
      </w:r>
    </w:p>
    <w:p w:rsidR="005405F3" w:rsidRPr="00356BF7" w:rsidRDefault="005405F3" w:rsidP="00E6676B">
      <w:pPr>
        <w:spacing w:after="120"/>
        <w:ind w:firstLine="624"/>
        <w:jc w:val="both"/>
        <w:rPr>
          <w:rFonts w:eastAsia="Times New Roman"/>
          <w:b/>
          <w:szCs w:val="28"/>
          <w:lang w:eastAsia="vi-VN"/>
        </w:rPr>
      </w:pPr>
      <w:r w:rsidRPr="00356BF7">
        <w:rPr>
          <w:rFonts w:eastAsia="Times New Roman"/>
          <w:b/>
          <w:szCs w:val="28"/>
          <w:lang w:eastAsia="vi-VN"/>
        </w:rPr>
        <w:t xml:space="preserve">6. </w:t>
      </w:r>
      <w:r w:rsidR="009B1432" w:rsidRPr="00E00D44">
        <w:rPr>
          <w:rFonts w:eastAsia="Times New Roman"/>
          <w:b/>
          <w:szCs w:val="28"/>
          <w:lang w:eastAsia="vi-VN"/>
        </w:rPr>
        <w:t>H</w:t>
      </w:r>
      <w:r w:rsidRPr="00356BF7">
        <w:rPr>
          <w:rFonts w:eastAsia="Times New Roman"/>
          <w:b/>
          <w:szCs w:val="28"/>
          <w:lang w:eastAsia="vi-VN"/>
        </w:rPr>
        <w:t xml:space="preserve">ỗ trợ liên doanh, liên kết, hợp tác kinh tế, phát triển các </w:t>
      </w:r>
      <w:r w:rsidR="00A51EB4">
        <w:rPr>
          <w:rFonts w:eastAsia="Times New Roman"/>
          <w:b/>
          <w:szCs w:val="28"/>
          <w:lang w:eastAsia="vi-VN"/>
        </w:rPr>
        <w:t>CCN</w:t>
      </w:r>
      <w:r w:rsidRPr="00356BF7">
        <w:rPr>
          <w:rFonts w:eastAsia="Times New Roman"/>
          <w:b/>
          <w:szCs w:val="28"/>
          <w:lang w:eastAsia="vi-VN"/>
        </w:rPr>
        <w:t xml:space="preserve"> và di dời cơ sở gây ô nhiễm môi trường</w:t>
      </w:r>
    </w:p>
    <w:p w:rsidR="005405F3" w:rsidRPr="00356BF7" w:rsidRDefault="005405F3" w:rsidP="00E6676B">
      <w:pPr>
        <w:spacing w:after="120"/>
        <w:ind w:firstLine="624"/>
        <w:jc w:val="both"/>
        <w:rPr>
          <w:szCs w:val="28"/>
          <w:lang w:eastAsia="vi-VN"/>
        </w:rPr>
      </w:pPr>
      <w:r w:rsidRPr="00356BF7">
        <w:rPr>
          <w:szCs w:val="28"/>
          <w:lang w:eastAsia="vi-VN"/>
        </w:rPr>
        <w:t>a) Nội dung thực hiện:</w:t>
      </w:r>
    </w:p>
    <w:p w:rsidR="005405F3" w:rsidRPr="00356BF7" w:rsidRDefault="005405F3" w:rsidP="00E6676B">
      <w:pPr>
        <w:spacing w:after="120"/>
        <w:ind w:firstLine="624"/>
        <w:jc w:val="both"/>
        <w:rPr>
          <w:rFonts w:eastAsia="Times New Roman"/>
          <w:szCs w:val="28"/>
          <w:lang w:eastAsia="vi-VN"/>
        </w:rPr>
      </w:pPr>
      <w:r w:rsidRPr="00356BF7">
        <w:rPr>
          <w:rFonts w:eastAsia="Times New Roman"/>
          <w:szCs w:val="28"/>
          <w:lang w:eastAsia="vi-VN"/>
        </w:rPr>
        <w:t>- Hỗ trợ hình thành cụm liên kết doanh nghiệp công nghiệp trong các ngành đồ mộc, cơ khí, may mặc, chế biến nông - lâm - thủy sản.</w:t>
      </w:r>
    </w:p>
    <w:p w:rsidR="005405F3" w:rsidRDefault="005405F3" w:rsidP="00E6676B">
      <w:pPr>
        <w:spacing w:after="120"/>
        <w:ind w:firstLine="624"/>
        <w:jc w:val="both"/>
        <w:rPr>
          <w:rFonts w:eastAsia="Times New Roman"/>
          <w:szCs w:val="28"/>
          <w:lang w:val="en-US" w:eastAsia="vi-VN"/>
        </w:rPr>
      </w:pPr>
      <w:r w:rsidRPr="00356BF7">
        <w:rPr>
          <w:rFonts w:eastAsia="Times New Roman"/>
          <w:szCs w:val="28"/>
          <w:lang w:eastAsia="vi-VN"/>
        </w:rPr>
        <w:t xml:space="preserve">- </w:t>
      </w:r>
      <w:r w:rsidR="00A0714D" w:rsidRPr="00E00D44">
        <w:rPr>
          <w:rFonts w:eastAsia="Times New Roman"/>
          <w:szCs w:val="28"/>
          <w:lang w:eastAsia="vi-VN"/>
        </w:rPr>
        <w:t>H</w:t>
      </w:r>
      <w:r w:rsidRPr="00356BF7">
        <w:rPr>
          <w:szCs w:val="28"/>
        </w:rPr>
        <w:t xml:space="preserve">ỗ trợ </w:t>
      </w:r>
      <w:r w:rsidR="00A0714D" w:rsidRPr="00E00D44">
        <w:rPr>
          <w:szCs w:val="28"/>
        </w:rPr>
        <w:t xml:space="preserve">kinh phí </w:t>
      </w:r>
      <w:r w:rsidRPr="00356BF7">
        <w:rPr>
          <w:szCs w:val="28"/>
        </w:rPr>
        <w:t>lập quy hoạch</w:t>
      </w:r>
      <w:r w:rsidRPr="00A366D5">
        <w:rPr>
          <w:szCs w:val="28"/>
        </w:rPr>
        <w:t xml:space="preserve"> chi tiết</w:t>
      </w:r>
      <w:r w:rsidR="00A0714D" w:rsidRPr="00A366D5">
        <w:rPr>
          <w:szCs w:val="28"/>
        </w:rPr>
        <w:t xml:space="preserve"> </w:t>
      </w:r>
      <w:r w:rsidR="00A51EB4" w:rsidRPr="00A366D5">
        <w:rPr>
          <w:szCs w:val="28"/>
        </w:rPr>
        <w:t>CCN</w:t>
      </w:r>
      <w:r w:rsidRPr="00A366D5">
        <w:rPr>
          <w:szCs w:val="28"/>
        </w:rPr>
        <w:t xml:space="preserve">; hỗ trợ </w:t>
      </w:r>
      <w:r w:rsidR="00A0714D" w:rsidRPr="00A366D5">
        <w:rPr>
          <w:szCs w:val="28"/>
        </w:rPr>
        <w:t xml:space="preserve">cơ </w:t>
      </w:r>
      <w:r w:rsidRPr="00A366D5">
        <w:rPr>
          <w:szCs w:val="28"/>
        </w:rPr>
        <w:t xml:space="preserve">sở </w:t>
      </w:r>
      <w:r w:rsidR="00A0714D" w:rsidRPr="00A366D5">
        <w:rPr>
          <w:szCs w:val="28"/>
        </w:rPr>
        <w:t xml:space="preserve">CNNT xây dựng, </w:t>
      </w:r>
      <w:r w:rsidRPr="00A366D5">
        <w:rPr>
          <w:szCs w:val="28"/>
        </w:rPr>
        <w:t xml:space="preserve">sửa chữa, nâng cấp hệ thống xử lý ô nhiểm môi trường; hỗ trợ chi phí tư vấn lập báo cáo đầu tư thành lập, mở rộng </w:t>
      </w:r>
      <w:r w:rsidR="00A51EB4" w:rsidRPr="00A366D5">
        <w:rPr>
          <w:szCs w:val="28"/>
        </w:rPr>
        <w:t>CCN</w:t>
      </w:r>
      <w:r w:rsidR="00AE33FE" w:rsidRPr="00A366D5">
        <w:rPr>
          <w:rFonts w:eastAsia="Times New Roman"/>
          <w:szCs w:val="28"/>
          <w:lang w:val="en-US" w:eastAsia="vi-VN"/>
        </w:rPr>
        <w:t>; hỗ trợ lãi suất vốn vay cho các cơ sở CNNT gây ô nhiễm môi trường di dời vào KCN, CCN; hỗ trợ t</w:t>
      </w:r>
      <w:r w:rsidRPr="00A366D5">
        <w:rPr>
          <w:rFonts w:eastAsia="Times New Roman"/>
          <w:szCs w:val="28"/>
          <w:lang w:eastAsia="vi-VN"/>
        </w:rPr>
        <w:t>ổ chức các hội nghị xúc tiến đầu tư nhằm kêu gọi th</w:t>
      </w:r>
      <w:r w:rsidRPr="00356BF7">
        <w:rPr>
          <w:rFonts w:eastAsia="Times New Roman"/>
          <w:szCs w:val="28"/>
          <w:lang w:eastAsia="vi-VN"/>
        </w:rPr>
        <w:t xml:space="preserve">u hút đầu tư phát triển </w:t>
      </w:r>
      <w:r w:rsidR="00A51EB4">
        <w:rPr>
          <w:rFonts w:eastAsia="Times New Roman"/>
          <w:szCs w:val="28"/>
          <w:lang w:eastAsia="vi-VN"/>
        </w:rPr>
        <w:t>CCN</w:t>
      </w:r>
      <w:r w:rsidRPr="00356BF7">
        <w:rPr>
          <w:rFonts w:eastAsia="Times New Roman"/>
          <w:szCs w:val="28"/>
          <w:lang w:eastAsia="vi-VN"/>
        </w:rPr>
        <w:t xml:space="preserve"> trên địa bàn tỉnh.</w:t>
      </w:r>
    </w:p>
    <w:p w:rsidR="00BD59F1" w:rsidRDefault="009F24CD" w:rsidP="00E6676B">
      <w:pPr>
        <w:spacing w:after="120"/>
        <w:ind w:firstLine="624"/>
        <w:jc w:val="both"/>
        <w:rPr>
          <w:rFonts w:eastAsia="Times New Roman"/>
          <w:szCs w:val="28"/>
          <w:lang w:val="en-US" w:eastAsia="vi-VN"/>
        </w:rPr>
      </w:pPr>
      <w:r>
        <w:rPr>
          <w:rFonts w:eastAsia="Times New Roman"/>
          <w:szCs w:val="28"/>
          <w:lang w:val="en-US" w:eastAsia="vi-VN"/>
        </w:rPr>
        <w:lastRenderedPageBreak/>
        <w:t>G</w:t>
      </w:r>
      <w:r w:rsidR="00BD59F1">
        <w:rPr>
          <w:rFonts w:eastAsia="Times New Roman"/>
          <w:szCs w:val="28"/>
          <w:lang w:val="en-US" w:eastAsia="vi-VN"/>
        </w:rPr>
        <w:t>iai đoạn</w:t>
      </w:r>
      <w:r>
        <w:rPr>
          <w:rFonts w:eastAsia="Times New Roman"/>
          <w:szCs w:val="28"/>
          <w:lang w:val="en-US" w:eastAsia="vi-VN"/>
        </w:rPr>
        <w:t xml:space="preserve"> 2021-2025</w:t>
      </w:r>
      <w:r w:rsidR="00BD59F1">
        <w:rPr>
          <w:rFonts w:eastAsia="Times New Roman"/>
          <w:szCs w:val="28"/>
          <w:lang w:val="en-US" w:eastAsia="vi-VN"/>
        </w:rPr>
        <w:t xml:space="preserve"> dự kiến h</w:t>
      </w:r>
      <w:r w:rsidR="00BD59F1" w:rsidRPr="00BD59F1">
        <w:rPr>
          <w:rFonts w:eastAsia="Times New Roman"/>
          <w:szCs w:val="28"/>
          <w:lang w:val="en-US" w:eastAsia="vi-VN"/>
        </w:rPr>
        <w:t xml:space="preserve">ỗ trợ lập quy hoạch chi tiết cho 04 </w:t>
      </w:r>
      <w:r w:rsidR="00A51EB4">
        <w:rPr>
          <w:rFonts w:eastAsia="Times New Roman"/>
          <w:szCs w:val="28"/>
          <w:lang w:val="en-US" w:eastAsia="vi-VN"/>
        </w:rPr>
        <w:t>CCN</w:t>
      </w:r>
      <w:r w:rsidR="00BD59F1" w:rsidRPr="00BD59F1">
        <w:rPr>
          <w:rFonts w:eastAsia="Times New Roman"/>
          <w:szCs w:val="28"/>
          <w:lang w:val="en-US" w:eastAsia="vi-VN"/>
        </w:rPr>
        <w:t xml:space="preserve">; hỗ trợ 10 cơ sở sửa chữa, nâng cấp hệ thống xử lý ô nhiểm môi trường; hỗ trợ 03 cụm chi phí tư vấn lập báo cáo đầu tư thành lập, mở rộng </w:t>
      </w:r>
      <w:r w:rsidR="00A51EB4">
        <w:rPr>
          <w:rFonts w:eastAsia="Times New Roman"/>
          <w:szCs w:val="28"/>
          <w:lang w:val="en-US" w:eastAsia="vi-VN"/>
        </w:rPr>
        <w:t>CCN</w:t>
      </w:r>
      <w:r w:rsidR="00AE33FE">
        <w:rPr>
          <w:rFonts w:eastAsia="Times New Roman"/>
          <w:szCs w:val="28"/>
          <w:lang w:val="en-US" w:eastAsia="vi-VN"/>
        </w:rPr>
        <w:t>…</w:t>
      </w:r>
    </w:p>
    <w:p w:rsidR="00EF3367" w:rsidRPr="002746C7" w:rsidRDefault="005405F3" w:rsidP="00E6676B">
      <w:pPr>
        <w:spacing w:after="120"/>
        <w:ind w:firstLine="624"/>
        <w:jc w:val="both"/>
        <w:rPr>
          <w:szCs w:val="28"/>
          <w:lang w:val="en-US" w:eastAsia="vi-VN"/>
        </w:rPr>
      </w:pPr>
      <w:r w:rsidRPr="00356BF7">
        <w:rPr>
          <w:szCs w:val="28"/>
          <w:lang w:eastAsia="vi-VN"/>
        </w:rPr>
        <w:t xml:space="preserve">b) </w:t>
      </w:r>
      <w:r w:rsidR="00EF3367" w:rsidRPr="00E00D44">
        <w:rPr>
          <w:szCs w:val="28"/>
          <w:lang w:eastAsia="vi-VN"/>
        </w:rPr>
        <w:t>K</w:t>
      </w:r>
      <w:r w:rsidRPr="00356BF7">
        <w:rPr>
          <w:szCs w:val="28"/>
          <w:lang w:eastAsia="vi-VN"/>
        </w:rPr>
        <w:t xml:space="preserve">inh phí </w:t>
      </w:r>
      <w:r w:rsidR="00EF3367" w:rsidRPr="00E00D44">
        <w:rPr>
          <w:szCs w:val="28"/>
          <w:lang w:eastAsia="vi-VN"/>
        </w:rPr>
        <w:t xml:space="preserve">dự kiến </w:t>
      </w:r>
      <w:r w:rsidRPr="00356BF7">
        <w:rPr>
          <w:szCs w:val="28"/>
          <w:lang w:eastAsia="vi-VN"/>
        </w:rPr>
        <w:t xml:space="preserve">thực hiện là </w:t>
      </w:r>
      <w:r w:rsidR="00BD59F1">
        <w:rPr>
          <w:szCs w:val="28"/>
          <w:lang w:val="en-US" w:eastAsia="vi-VN"/>
        </w:rPr>
        <w:t>11.150 triệu đồng</w:t>
      </w:r>
      <w:r w:rsidR="002971E1">
        <w:rPr>
          <w:szCs w:val="28"/>
          <w:lang w:val="en-US" w:eastAsia="vi-VN"/>
        </w:rPr>
        <w:t>;</w:t>
      </w:r>
      <w:r w:rsidR="00BD59F1">
        <w:rPr>
          <w:szCs w:val="28"/>
          <w:lang w:val="en-US" w:eastAsia="vi-VN"/>
        </w:rPr>
        <w:t xml:space="preserve"> trong đó ngân sách hỗ trợ thực hiện là </w:t>
      </w:r>
      <w:r w:rsidR="003075C3" w:rsidRPr="003075C3">
        <w:rPr>
          <w:szCs w:val="28"/>
          <w:lang w:eastAsia="vi-VN"/>
        </w:rPr>
        <w:t>4.</w:t>
      </w:r>
      <w:r w:rsidR="003075C3" w:rsidRPr="00E3754C">
        <w:rPr>
          <w:szCs w:val="28"/>
          <w:lang w:eastAsia="vi-VN"/>
        </w:rPr>
        <w:t>750</w:t>
      </w:r>
      <w:r w:rsidRPr="00356BF7">
        <w:rPr>
          <w:szCs w:val="28"/>
          <w:lang w:eastAsia="vi-VN"/>
        </w:rPr>
        <w:t xml:space="preserve"> triệu đồ</w:t>
      </w:r>
      <w:r w:rsidR="002746C7">
        <w:rPr>
          <w:szCs w:val="28"/>
          <w:lang w:eastAsia="vi-VN"/>
        </w:rPr>
        <w:t>ng</w:t>
      </w:r>
      <w:r w:rsidR="002746C7">
        <w:rPr>
          <w:szCs w:val="28"/>
          <w:lang w:val="en-US" w:eastAsia="vi-VN"/>
        </w:rPr>
        <w:t>; phần đối ứng từ các cơ sở và nguồn khác là 6.400 triệu đồng.</w:t>
      </w:r>
    </w:p>
    <w:p w:rsidR="005405F3" w:rsidRPr="00356BF7" w:rsidRDefault="005405F3" w:rsidP="00E6676B">
      <w:pPr>
        <w:spacing w:after="120"/>
        <w:ind w:firstLine="624"/>
        <w:jc w:val="both"/>
        <w:rPr>
          <w:rFonts w:eastAsia="Times New Roman"/>
          <w:b/>
          <w:szCs w:val="28"/>
          <w:lang w:val="sv-SE" w:eastAsia="vi-VN"/>
        </w:rPr>
      </w:pPr>
      <w:r w:rsidRPr="00356BF7">
        <w:rPr>
          <w:rFonts w:eastAsia="Times New Roman"/>
          <w:b/>
          <w:szCs w:val="28"/>
          <w:lang w:val="sv-SE" w:eastAsia="vi-VN"/>
        </w:rPr>
        <w:t>7</w:t>
      </w:r>
      <w:r w:rsidRPr="00356BF7">
        <w:rPr>
          <w:rFonts w:eastAsia="Times New Roman"/>
          <w:b/>
          <w:szCs w:val="28"/>
          <w:lang w:eastAsia="vi-VN"/>
        </w:rPr>
        <w:t xml:space="preserve">. </w:t>
      </w:r>
      <w:r w:rsidR="00A0714D" w:rsidRPr="00E00D44">
        <w:rPr>
          <w:rFonts w:eastAsia="Times New Roman"/>
          <w:b/>
          <w:szCs w:val="28"/>
          <w:lang w:val="sv-SE" w:eastAsia="vi-VN"/>
        </w:rPr>
        <w:t>N</w:t>
      </w:r>
      <w:r w:rsidRPr="00356BF7">
        <w:rPr>
          <w:rFonts w:eastAsia="Times New Roman"/>
          <w:b/>
          <w:szCs w:val="28"/>
          <w:lang w:eastAsia="vi-VN"/>
        </w:rPr>
        <w:t>âng cao năng lực quản lý và năng lực tổ chức thực hiện các hoạt động khuyến công</w:t>
      </w:r>
    </w:p>
    <w:p w:rsidR="005405F3" w:rsidRPr="00356BF7" w:rsidRDefault="005405F3" w:rsidP="00E6676B">
      <w:pPr>
        <w:spacing w:after="120"/>
        <w:ind w:firstLine="624"/>
        <w:jc w:val="both"/>
        <w:rPr>
          <w:szCs w:val="28"/>
          <w:lang w:eastAsia="vi-VN"/>
        </w:rPr>
      </w:pPr>
      <w:r w:rsidRPr="00356BF7">
        <w:rPr>
          <w:szCs w:val="28"/>
          <w:lang w:eastAsia="vi-VN"/>
        </w:rPr>
        <w:t>a) Nội dung thực hiện:</w:t>
      </w:r>
    </w:p>
    <w:p w:rsidR="005405F3" w:rsidRPr="00356BF7" w:rsidRDefault="005405F3" w:rsidP="00E6676B">
      <w:pPr>
        <w:spacing w:after="120"/>
        <w:ind w:firstLine="624"/>
        <w:jc w:val="both"/>
        <w:rPr>
          <w:szCs w:val="28"/>
          <w:lang w:eastAsia="vi-VN"/>
        </w:rPr>
      </w:pPr>
      <w:r w:rsidRPr="00356BF7">
        <w:rPr>
          <w:szCs w:val="28"/>
          <w:lang w:eastAsia="vi-VN"/>
        </w:rPr>
        <w:t>- Hỗ trợ đào tạo xây dựng đội ngũ cán bộ quản lý nhà nước và cán bộ chủ chốt làm công tác khuyến công đảm bảo đủ năng lực định hướng, xây dựng chương trình kế hoạch hàng năm, từng giai đoạn và chỉ đạo tổ chức triển khai công tác khuyến công hiệu quả.</w:t>
      </w:r>
    </w:p>
    <w:p w:rsidR="005405F3" w:rsidRPr="00356BF7" w:rsidRDefault="005405F3" w:rsidP="00E6676B">
      <w:pPr>
        <w:spacing w:after="120"/>
        <w:ind w:firstLine="624"/>
        <w:jc w:val="both"/>
        <w:rPr>
          <w:szCs w:val="28"/>
          <w:lang w:eastAsia="vi-VN"/>
        </w:rPr>
      </w:pPr>
      <w:r w:rsidRPr="00356BF7">
        <w:rPr>
          <w:szCs w:val="28"/>
          <w:lang w:eastAsia="vi-VN"/>
        </w:rPr>
        <w:t>- Đào tạo cán bộ của các tổ chức dịch vụ khuyến công hình thành các chuyên gia để có đủ năng lực tham gia hoạt động tư vấn, đào tạo của chương trình (đào tạo giảng viên); xây dựng chương trình, tài liệu và tổ chức đào tạo, tập huấn nghiệp vụ khuyến công cho các cán bộ trực tiếp làm công tác khuyến công, cộng tác viên khuyến công đảm bảo năng lực triển khai thực hiện các đề án khuyến công hiệu quả tại cơ sở.</w:t>
      </w:r>
    </w:p>
    <w:p w:rsidR="005405F3" w:rsidRPr="00356BF7" w:rsidRDefault="005405F3" w:rsidP="00E6676B">
      <w:pPr>
        <w:spacing w:after="120"/>
        <w:ind w:firstLine="624"/>
        <w:jc w:val="both"/>
        <w:rPr>
          <w:szCs w:val="28"/>
          <w:lang w:eastAsia="vi-VN"/>
        </w:rPr>
      </w:pPr>
      <w:r w:rsidRPr="00356BF7">
        <w:rPr>
          <w:szCs w:val="28"/>
          <w:lang w:eastAsia="vi-VN"/>
        </w:rPr>
        <w:t>- Tổ chức trao đổi, học tập kinh nghiệm quản lý nhà nước và hoạt động sản xuất công nghiệp, hoạt động khuyến công tại các tỉnh, thành phố trong nước đang hoạt động hiệu quả cho các cán bộ quản lý nhà nước về công nghiệp, khuyến công.</w:t>
      </w:r>
    </w:p>
    <w:p w:rsidR="005405F3" w:rsidRPr="00356BF7" w:rsidRDefault="005405F3" w:rsidP="00E6676B">
      <w:pPr>
        <w:spacing w:after="120"/>
        <w:ind w:firstLine="624"/>
        <w:jc w:val="both"/>
        <w:rPr>
          <w:szCs w:val="28"/>
          <w:lang w:eastAsia="vi-VN"/>
        </w:rPr>
      </w:pPr>
      <w:r w:rsidRPr="00356BF7">
        <w:rPr>
          <w:szCs w:val="28"/>
          <w:lang w:eastAsia="vi-VN"/>
        </w:rPr>
        <w:t>- Tổ chức xây dựng và triển khai thực hiện các chương trình, kế hoạch, đề án khuyến công hàng năm, từng giai đoạn thông qua việc hướng dẫn triển khai, kiểm tra, giám sát, và nghiệm thu, đánh giá các chương trình, đề án khuyến công.</w:t>
      </w:r>
    </w:p>
    <w:p w:rsidR="005405F3" w:rsidRPr="00356BF7" w:rsidRDefault="005405F3" w:rsidP="00E6676B">
      <w:pPr>
        <w:spacing w:after="120"/>
        <w:ind w:firstLine="624"/>
        <w:jc w:val="both"/>
        <w:rPr>
          <w:szCs w:val="28"/>
          <w:lang w:eastAsia="vi-VN"/>
        </w:rPr>
      </w:pPr>
      <w:r w:rsidRPr="00356BF7">
        <w:rPr>
          <w:szCs w:val="28"/>
          <w:lang w:eastAsia="vi-VN"/>
        </w:rPr>
        <w:t>- Hỗ trợ cán bộ làm công tác khuyến công tham dự các lớp tập huấn nghiệp vụ khuyến công, hội thảo, hội nghị chuyên đề, các hội nghị đánh giá tổng kết hoạt động khuyến công hàng năm, từng giai đoạn.</w:t>
      </w:r>
    </w:p>
    <w:p w:rsidR="005405F3" w:rsidRPr="00356BF7" w:rsidRDefault="005405F3" w:rsidP="00E6676B">
      <w:pPr>
        <w:spacing w:after="120"/>
        <w:ind w:firstLine="624"/>
        <w:jc w:val="both"/>
        <w:rPr>
          <w:szCs w:val="28"/>
          <w:lang w:eastAsia="vi-VN"/>
        </w:rPr>
      </w:pPr>
      <w:r w:rsidRPr="00356BF7">
        <w:rPr>
          <w:szCs w:val="28"/>
          <w:lang w:eastAsia="vi-VN"/>
        </w:rPr>
        <w:t>- Hỗ trợ nghiên cứu trình cơ quan có thẩm quyền sửa đổi, bổ sung hoặc ban hành mới các văn bản liên quan nhằm hoàn thiện khung pháp lý, cơ chế, chính sách về hoạt động khuyến công.</w:t>
      </w:r>
    </w:p>
    <w:p w:rsidR="005405F3" w:rsidRPr="004B2DB5" w:rsidRDefault="00B80E54" w:rsidP="00E6676B">
      <w:pPr>
        <w:spacing w:after="120"/>
        <w:ind w:firstLine="624"/>
        <w:jc w:val="both"/>
        <w:rPr>
          <w:szCs w:val="28"/>
          <w:lang w:eastAsia="vi-VN"/>
        </w:rPr>
      </w:pPr>
      <w:r>
        <w:rPr>
          <w:szCs w:val="28"/>
          <w:lang w:val="en-US" w:eastAsia="vi-VN"/>
        </w:rPr>
        <w:t>- T</w:t>
      </w:r>
      <w:r w:rsidR="005405F3" w:rsidRPr="00356BF7">
        <w:rPr>
          <w:szCs w:val="28"/>
          <w:lang w:eastAsia="vi-VN"/>
        </w:rPr>
        <w:t xml:space="preserve">ổ chức 03 lớp đào tạo, tập huấn nghiệp vụ khuyến công; </w:t>
      </w:r>
      <w:r w:rsidR="00A0714D" w:rsidRPr="00E00D44">
        <w:rPr>
          <w:szCs w:val="28"/>
          <w:lang w:eastAsia="vi-VN"/>
        </w:rPr>
        <w:t xml:space="preserve">mỗi năm </w:t>
      </w:r>
      <w:r w:rsidR="005405F3" w:rsidRPr="00356BF7">
        <w:rPr>
          <w:szCs w:val="28"/>
          <w:lang w:eastAsia="vi-VN"/>
        </w:rPr>
        <w:t>tổ chứ</w:t>
      </w:r>
      <w:r w:rsidR="00A0714D">
        <w:rPr>
          <w:szCs w:val="28"/>
          <w:lang w:eastAsia="vi-VN"/>
        </w:rPr>
        <w:t xml:space="preserve">c </w:t>
      </w:r>
      <w:r w:rsidR="00A0714D" w:rsidRPr="00E00D44">
        <w:rPr>
          <w:szCs w:val="28"/>
          <w:lang w:eastAsia="vi-VN"/>
        </w:rPr>
        <w:t>0</w:t>
      </w:r>
      <w:r w:rsidR="00E3754C" w:rsidRPr="00E3754C">
        <w:rPr>
          <w:szCs w:val="28"/>
          <w:lang w:eastAsia="vi-VN"/>
        </w:rPr>
        <w:t>3</w:t>
      </w:r>
      <w:r w:rsidR="005405F3" w:rsidRPr="00356BF7">
        <w:rPr>
          <w:szCs w:val="28"/>
          <w:lang w:eastAsia="vi-VN"/>
        </w:rPr>
        <w:t xml:space="preserve"> đoàn học tập kinh nghiệm hoạt động khuyến công trong nước; chi kiểm tra, giám sát hướng dẫn triển khai thực hiện chương trình, kế hoạch, đề án khuyến công</w:t>
      </w:r>
      <w:r w:rsidR="00E3754C" w:rsidRPr="00E3754C">
        <w:rPr>
          <w:szCs w:val="28"/>
          <w:lang w:eastAsia="vi-VN"/>
        </w:rPr>
        <w:t>, tổng kết công tác khuyến công giai đoạn</w:t>
      </w:r>
      <w:r w:rsidR="005405F3" w:rsidRPr="00356BF7">
        <w:rPr>
          <w:szCs w:val="28"/>
          <w:lang w:eastAsia="vi-VN"/>
        </w:rPr>
        <w:t>.</w:t>
      </w:r>
    </w:p>
    <w:p w:rsidR="005405F3" w:rsidRPr="00356BF7" w:rsidRDefault="005405F3" w:rsidP="00E6676B">
      <w:pPr>
        <w:spacing w:after="120"/>
        <w:ind w:firstLine="624"/>
        <w:jc w:val="both"/>
        <w:rPr>
          <w:szCs w:val="28"/>
          <w:lang w:eastAsia="vi-VN"/>
        </w:rPr>
      </w:pPr>
      <w:r w:rsidRPr="00356BF7">
        <w:rPr>
          <w:szCs w:val="28"/>
          <w:lang w:eastAsia="vi-VN"/>
        </w:rPr>
        <w:t xml:space="preserve">b) </w:t>
      </w:r>
      <w:r w:rsidR="00EF3367" w:rsidRPr="00E00D44">
        <w:rPr>
          <w:szCs w:val="28"/>
          <w:lang w:eastAsia="vi-VN"/>
        </w:rPr>
        <w:t>K</w:t>
      </w:r>
      <w:r w:rsidRPr="00356BF7">
        <w:rPr>
          <w:szCs w:val="28"/>
          <w:lang w:eastAsia="vi-VN"/>
        </w:rPr>
        <w:t>inh phí dự kiến</w:t>
      </w:r>
      <w:r w:rsidR="00A366D5">
        <w:rPr>
          <w:szCs w:val="28"/>
          <w:lang w:val="en-US" w:eastAsia="vi-VN"/>
        </w:rPr>
        <w:t>:</w:t>
      </w:r>
      <w:r w:rsidRPr="00356BF7">
        <w:rPr>
          <w:szCs w:val="28"/>
          <w:lang w:eastAsia="vi-VN"/>
        </w:rPr>
        <w:t xml:space="preserve"> </w:t>
      </w:r>
      <w:r w:rsidR="0051449D" w:rsidRPr="00D9749B">
        <w:rPr>
          <w:szCs w:val="28"/>
          <w:lang w:eastAsia="vi-VN"/>
        </w:rPr>
        <w:t>1.</w:t>
      </w:r>
      <w:r w:rsidR="00CC0188" w:rsidRPr="00D5691C">
        <w:rPr>
          <w:szCs w:val="28"/>
          <w:lang w:eastAsia="vi-VN"/>
        </w:rPr>
        <w:t>450</w:t>
      </w:r>
      <w:r w:rsidRPr="00356BF7">
        <w:rPr>
          <w:szCs w:val="28"/>
          <w:lang w:eastAsia="vi-VN"/>
        </w:rPr>
        <w:t xml:space="preserve"> triệu đồng.</w:t>
      </w:r>
    </w:p>
    <w:p w:rsidR="00AC6564" w:rsidRDefault="00AC6564" w:rsidP="00E6676B">
      <w:pPr>
        <w:spacing w:after="120"/>
        <w:ind w:firstLine="624"/>
        <w:jc w:val="both"/>
        <w:rPr>
          <w:rFonts w:eastAsia="Times New Roman"/>
          <w:b/>
          <w:bCs/>
          <w:szCs w:val="28"/>
          <w:lang w:val="sv-SE" w:eastAsia="vi-VN"/>
        </w:rPr>
      </w:pPr>
    </w:p>
    <w:p w:rsidR="005405F3" w:rsidRPr="00356BF7" w:rsidRDefault="005405F3" w:rsidP="00E6676B">
      <w:pPr>
        <w:spacing w:after="120"/>
        <w:ind w:firstLine="624"/>
        <w:jc w:val="both"/>
        <w:rPr>
          <w:rFonts w:eastAsia="Times New Roman"/>
          <w:szCs w:val="28"/>
          <w:lang w:val="sv-SE" w:eastAsia="vi-VN"/>
        </w:rPr>
      </w:pPr>
      <w:r w:rsidRPr="00356BF7">
        <w:rPr>
          <w:rFonts w:eastAsia="Times New Roman"/>
          <w:b/>
          <w:bCs/>
          <w:szCs w:val="28"/>
          <w:lang w:val="sv-SE" w:eastAsia="vi-VN"/>
        </w:rPr>
        <w:lastRenderedPageBreak/>
        <w:t>IV</w:t>
      </w:r>
      <w:r w:rsidRPr="00356BF7">
        <w:rPr>
          <w:rFonts w:eastAsia="Times New Roman"/>
          <w:b/>
          <w:bCs/>
          <w:szCs w:val="28"/>
          <w:lang w:eastAsia="vi-VN"/>
        </w:rPr>
        <w:t xml:space="preserve">. </w:t>
      </w:r>
      <w:r w:rsidRPr="00356BF7">
        <w:rPr>
          <w:rFonts w:eastAsia="Times New Roman"/>
          <w:b/>
          <w:bCs/>
          <w:szCs w:val="28"/>
          <w:lang w:val="sv-SE" w:eastAsia="vi-VN"/>
        </w:rPr>
        <w:t>KINH PHÍ THỰC HIỆN CHƯƠNG TRÌNH</w:t>
      </w:r>
    </w:p>
    <w:p w:rsidR="005405F3" w:rsidRPr="0063688C" w:rsidRDefault="005405F3" w:rsidP="00E6676B">
      <w:pPr>
        <w:spacing w:after="120"/>
        <w:ind w:firstLine="624"/>
        <w:jc w:val="both"/>
        <w:rPr>
          <w:szCs w:val="28"/>
          <w:lang w:eastAsia="vi-VN"/>
        </w:rPr>
      </w:pPr>
      <w:r w:rsidRPr="0063688C">
        <w:rPr>
          <w:szCs w:val="28"/>
          <w:lang w:val="sv-SE" w:eastAsia="vi-VN"/>
        </w:rPr>
        <w:t xml:space="preserve">Tổng kinh phí thực hiện chương trình là </w:t>
      </w:r>
      <w:r w:rsidR="00D5691C">
        <w:rPr>
          <w:szCs w:val="28"/>
          <w:lang w:val="sv-SE" w:eastAsia="vi-VN"/>
        </w:rPr>
        <w:t>62.765</w:t>
      </w:r>
      <w:r w:rsidRPr="0063688C">
        <w:rPr>
          <w:szCs w:val="28"/>
          <w:lang w:val="sv-SE" w:eastAsia="vi-VN"/>
        </w:rPr>
        <w:t xml:space="preserve"> triệu đồ</w:t>
      </w:r>
      <w:r w:rsidR="002971E1">
        <w:rPr>
          <w:szCs w:val="28"/>
          <w:lang w:val="sv-SE" w:eastAsia="vi-VN"/>
        </w:rPr>
        <w:t>ng; t</w:t>
      </w:r>
      <w:r w:rsidRPr="0063688C">
        <w:rPr>
          <w:szCs w:val="28"/>
          <w:lang w:val="sv-SE" w:eastAsia="vi-VN"/>
        </w:rPr>
        <w:t>rong đó:</w:t>
      </w:r>
    </w:p>
    <w:p w:rsidR="005405F3" w:rsidRPr="0063688C" w:rsidRDefault="005405F3" w:rsidP="00E6676B">
      <w:pPr>
        <w:spacing w:after="120"/>
        <w:ind w:firstLine="624"/>
        <w:jc w:val="both"/>
        <w:rPr>
          <w:szCs w:val="28"/>
          <w:lang w:eastAsia="vi-VN"/>
        </w:rPr>
      </w:pPr>
      <w:r w:rsidRPr="0063688C">
        <w:rPr>
          <w:szCs w:val="28"/>
          <w:lang w:val="sv-SE" w:eastAsia="vi-VN"/>
        </w:rPr>
        <w:t xml:space="preserve">- </w:t>
      </w:r>
      <w:r w:rsidR="00EF3367" w:rsidRPr="0063688C">
        <w:rPr>
          <w:szCs w:val="28"/>
          <w:lang w:val="sv-SE" w:eastAsia="vi-VN"/>
        </w:rPr>
        <w:t>Nguồn từ</w:t>
      </w:r>
      <w:r w:rsidR="00BD59F1">
        <w:rPr>
          <w:szCs w:val="28"/>
          <w:lang w:val="sv-SE" w:eastAsia="vi-VN"/>
        </w:rPr>
        <w:t xml:space="preserve"> ngân sách tỉnh là</w:t>
      </w:r>
      <w:r w:rsidRPr="0063688C">
        <w:rPr>
          <w:szCs w:val="28"/>
          <w:lang w:val="sv-SE" w:eastAsia="vi-VN"/>
        </w:rPr>
        <w:t xml:space="preserve">: </w:t>
      </w:r>
      <w:r w:rsidR="00CD70E3">
        <w:rPr>
          <w:szCs w:val="28"/>
          <w:lang w:val="sv-SE" w:eastAsia="vi-VN"/>
        </w:rPr>
        <w:t>27.110</w:t>
      </w:r>
      <w:r w:rsidRPr="0063688C">
        <w:rPr>
          <w:szCs w:val="28"/>
          <w:lang w:val="sv-SE" w:eastAsia="vi-VN"/>
        </w:rPr>
        <w:t xml:space="preserve"> triệu đồng.</w:t>
      </w:r>
    </w:p>
    <w:p w:rsidR="005405F3" w:rsidRPr="0063688C" w:rsidRDefault="005405F3" w:rsidP="00E6676B">
      <w:pPr>
        <w:spacing w:after="120"/>
        <w:ind w:firstLine="624"/>
        <w:jc w:val="both"/>
        <w:rPr>
          <w:szCs w:val="28"/>
          <w:lang w:eastAsia="vi-VN"/>
        </w:rPr>
      </w:pPr>
      <w:r w:rsidRPr="0063688C">
        <w:rPr>
          <w:szCs w:val="28"/>
          <w:lang w:val="sv-SE" w:eastAsia="vi-VN"/>
        </w:rPr>
        <w:t xml:space="preserve">- </w:t>
      </w:r>
      <w:r w:rsidR="00EF3367" w:rsidRPr="0063688C">
        <w:rPr>
          <w:szCs w:val="28"/>
          <w:lang w:val="sv-SE" w:eastAsia="vi-VN"/>
        </w:rPr>
        <w:t xml:space="preserve">Nguồn đối ứng, huy động từ </w:t>
      </w:r>
      <w:r w:rsidRPr="0063688C">
        <w:rPr>
          <w:szCs w:val="28"/>
          <w:lang w:val="sv-SE" w:eastAsia="vi-VN"/>
        </w:rPr>
        <w:t xml:space="preserve">các thành phần kinh tế tham gia: </w:t>
      </w:r>
      <w:r w:rsidR="00CD70E3">
        <w:rPr>
          <w:szCs w:val="28"/>
          <w:lang w:val="sv-SE" w:eastAsia="vi-VN"/>
        </w:rPr>
        <w:t>35.655</w:t>
      </w:r>
      <w:r w:rsidRPr="0063688C">
        <w:rPr>
          <w:szCs w:val="28"/>
          <w:lang w:val="sv-SE" w:eastAsia="vi-VN"/>
        </w:rPr>
        <w:t xml:space="preserve"> triệu đồng. </w:t>
      </w:r>
    </w:p>
    <w:p w:rsidR="00A0714D" w:rsidRPr="0067293A" w:rsidRDefault="005405F3" w:rsidP="00E6676B">
      <w:pPr>
        <w:spacing w:after="120"/>
        <w:ind w:firstLine="624"/>
        <w:jc w:val="center"/>
        <w:rPr>
          <w:i/>
          <w:szCs w:val="28"/>
          <w:lang w:val="sv-SE" w:eastAsia="vi-VN"/>
        </w:rPr>
      </w:pPr>
      <w:r w:rsidRPr="00356BF7">
        <w:rPr>
          <w:i/>
          <w:szCs w:val="28"/>
          <w:lang w:val="sv-SE" w:eastAsia="vi-VN"/>
        </w:rPr>
        <w:t xml:space="preserve">(Chi tiết phụ lục </w:t>
      </w:r>
      <w:r w:rsidR="0067293A">
        <w:rPr>
          <w:i/>
          <w:szCs w:val="28"/>
          <w:lang w:val="sv-SE" w:eastAsia="vi-VN"/>
        </w:rPr>
        <w:t>1</w:t>
      </w:r>
      <w:r w:rsidR="00A83912">
        <w:rPr>
          <w:i/>
          <w:szCs w:val="28"/>
          <w:lang w:val="sv-SE" w:eastAsia="vi-VN"/>
        </w:rPr>
        <w:t>, 2</w:t>
      </w:r>
      <w:r w:rsidR="00A51EB4">
        <w:rPr>
          <w:i/>
          <w:szCs w:val="28"/>
          <w:lang w:val="sv-SE" w:eastAsia="vi-VN"/>
        </w:rPr>
        <w:t xml:space="preserve"> đính kèm</w:t>
      </w:r>
      <w:r w:rsidRPr="00356BF7">
        <w:rPr>
          <w:i/>
          <w:szCs w:val="28"/>
          <w:lang w:val="sv-SE" w:eastAsia="vi-VN"/>
        </w:rPr>
        <w:t>)</w:t>
      </w:r>
    </w:p>
    <w:p w:rsidR="00A0714D" w:rsidRPr="00A0714D" w:rsidRDefault="005405F3" w:rsidP="00E6676B">
      <w:pPr>
        <w:spacing w:after="120"/>
        <w:ind w:firstLine="624"/>
        <w:jc w:val="both"/>
        <w:rPr>
          <w:i/>
          <w:szCs w:val="28"/>
          <w:lang w:eastAsia="vi-VN"/>
        </w:rPr>
      </w:pPr>
      <w:r w:rsidRPr="00A0714D">
        <w:rPr>
          <w:rFonts w:eastAsia="Times New Roman"/>
          <w:b/>
          <w:bCs/>
          <w:szCs w:val="28"/>
          <w:lang w:val="sv-SE" w:eastAsia="vi-VN"/>
        </w:rPr>
        <w:t>IV</w:t>
      </w:r>
      <w:r w:rsidRPr="00A0714D">
        <w:rPr>
          <w:rFonts w:eastAsia="Times New Roman"/>
          <w:b/>
          <w:bCs/>
          <w:szCs w:val="28"/>
          <w:lang w:eastAsia="vi-VN"/>
        </w:rPr>
        <w:t xml:space="preserve">. </w:t>
      </w:r>
      <w:bookmarkEnd w:id="3"/>
      <w:r w:rsidR="00A0714D" w:rsidRPr="00E23F27">
        <w:rPr>
          <w:b/>
        </w:rPr>
        <w:t>GIẢI PHÁP THỰC HIỆN</w:t>
      </w:r>
    </w:p>
    <w:p w:rsidR="00A0714D" w:rsidRPr="009F24CD" w:rsidRDefault="00A0714D" w:rsidP="00E6676B">
      <w:pPr>
        <w:pStyle w:val="BodyText"/>
        <w:spacing w:before="0" w:beforeAutospacing="0" w:after="120" w:afterAutospacing="0"/>
        <w:ind w:firstLine="624"/>
        <w:jc w:val="both"/>
        <w:rPr>
          <w:sz w:val="28"/>
          <w:szCs w:val="28"/>
          <w:lang w:val="en-US"/>
        </w:rPr>
      </w:pPr>
      <w:r w:rsidRPr="00A0714D">
        <w:rPr>
          <w:sz w:val="28"/>
          <w:szCs w:val="28"/>
        </w:rPr>
        <w:t xml:space="preserve">1. Tăng cường vai trò công tác thông tin, tuyên truyền đến các đối tượng thụ hưởng chính sách khuyến công: Thường xuyên tuyên truyền, phổ biến rộng rãi các chủ trương chính sách của Nhà nước để người dân, doanh nghiệp yên tâm </w:t>
      </w:r>
      <w:r w:rsidRPr="00A0714D">
        <w:rPr>
          <w:rFonts w:eastAsiaTheme="minorEastAsia"/>
          <w:sz w:val="28"/>
          <w:szCs w:val="28"/>
        </w:rPr>
        <w:t xml:space="preserve">đầu tư phát triển </w:t>
      </w:r>
      <w:r w:rsidR="00A51EB4">
        <w:rPr>
          <w:rFonts w:eastAsiaTheme="minorEastAsia"/>
          <w:sz w:val="28"/>
          <w:szCs w:val="28"/>
        </w:rPr>
        <w:t>CNNT</w:t>
      </w:r>
      <w:r w:rsidRPr="00A0714D">
        <w:rPr>
          <w:rFonts w:eastAsiaTheme="minorEastAsia"/>
          <w:sz w:val="28"/>
          <w:szCs w:val="28"/>
        </w:rPr>
        <w:t xml:space="preserve">. Vận động các doanh nghiệp lớn hỗ trợ cho hoạt động khuyến công và động viên doanh nhân tích cực tham gia hoạt động khuyến công; Tăng cường cập nhật, trao đổi thông tin giữa hoạt động khuyến công cấp tỉnh với khuyến công cấp huyện, khảo sát thực tế tại </w:t>
      </w:r>
      <w:r w:rsidR="00A83912" w:rsidRPr="00A83912">
        <w:rPr>
          <w:sz w:val="28"/>
          <w:szCs w:val="28"/>
          <w:lang w:val="sv-SE" w:eastAsia="vi-VN"/>
        </w:rPr>
        <w:t xml:space="preserve">cơ sở </w:t>
      </w:r>
      <w:r w:rsidR="00A51EB4">
        <w:rPr>
          <w:sz w:val="28"/>
          <w:szCs w:val="28"/>
          <w:lang w:val="sv-SE" w:eastAsia="vi-VN"/>
        </w:rPr>
        <w:t>CNNT</w:t>
      </w:r>
      <w:r w:rsidRPr="00A0714D">
        <w:rPr>
          <w:sz w:val="28"/>
          <w:szCs w:val="28"/>
        </w:rPr>
        <w:t xml:space="preserve"> để trao đổi, cung cấp và nắm bắt thông tin, những nhu cầu của các cơ sở để lựa chọn, xây dựng kế hoạch chi tiết cho từng nội dung hoạt động khuyến công hàng năm nhằm triển khai thực hiện hiện mang lại hiệu quả cao</w:t>
      </w:r>
      <w:r w:rsidR="00396D18">
        <w:rPr>
          <w:sz w:val="28"/>
          <w:szCs w:val="28"/>
          <w:lang w:val="en-US"/>
        </w:rPr>
        <w:t>.</w:t>
      </w:r>
    </w:p>
    <w:p w:rsidR="00A0714D" w:rsidRPr="00A0714D" w:rsidRDefault="00A0714D" w:rsidP="00E6676B">
      <w:pPr>
        <w:pStyle w:val="ListParagraph"/>
        <w:tabs>
          <w:tab w:val="left" w:pos="2514"/>
        </w:tabs>
        <w:spacing w:before="0" w:after="120"/>
        <w:ind w:left="0"/>
        <w:rPr>
          <w:sz w:val="28"/>
          <w:szCs w:val="28"/>
          <w:lang w:val="vi-VN"/>
        </w:rPr>
      </w:pPr>
      <w:r w:rsidRPr="00A0714D">
        <w:rPr>
          <w:sz w:val="28"/>
          <w:szCs w:val="28"/>
          <w:lang w:val="vi-VN"/>
        </w:rPr>
        <w:t xml:space="preserve">2. Tăng cường quản lý nhà nước về khuyến công: </w:t>
      </w:r>
      <w:r w:rsidR="00EC14CE">
        <w:rPr>
          <w:sz w:val="28"/>
          <w:szCs w:val="28"/>
        </w:rPr>
        <w:t>Ban hành</w:t>
      </w:r>
      <w:r w:rsidRPr="00A0714D">
        <w:rPr>
          <w:sz w:val="28"/>
          <w:szCs w:val="28"/>
          <w:lang w:val="vi-VN"/>
        </w:rPr>
        <w:t xml:space="preserve"> chương trình khuyến công giai đoạn 2021-2025; tiếp tục rà soát lại cơ chế, chính sách đã ban hành để bổ sung điều chỉnh hoàn thiện cho phù hợp yêu cầu </w:t>
      </w:r>
      <w:r w:rsidRPr="00E00D44">
        <w:rPr>
          <w:sz w:val="28"/>
          <w:szCs w:val="28"/>
          <w:lang w:val="vi-VN"/>
        </w:rPr>
        <w:t>mới</w:t>
      </w:r>
      <w:r w:rsidRPr="00A0714D">
        <w:rPr>
          <w:sz w:val="28"/>
          <w:szCs w:val="28"/>
          <w:lang w:val="vi-VN"/>
        </w:rPr>
        <w:t>, hỗ trợ nâng cấp kết cấu hạ tầng nông thôn, giảm bớt các thủ tục hành chính…</w:t>
      </w:r>
      <w:r w:rsidR="00A83912">
        <w:rPr>
          <w:sz w:val="28"/>
          <w:szCs w:val="28"/>
        </w:rPr>
        <w:t xml:space="preserve"> </w:t>
      </w:r>
      <w:r w:rsidRPr="00A0714D">
        <w:rPr>
          <w:sz w:val="28"/>
          <w:szCs w:val="28"/>
          <w:lang w:val="vi-VN"/>
        </w:rPr>
        <w:t xml:space="preserve">Ngoài các chính sách ưu đãi theo quy định của Chính phủ, các cơ sở sản xuất công nghiệp đầu tư trên địa bàn nông thôn của tỉnh còn được hưởng một số chế độ ưu đãi riêng theo cơ chế ưu đãi đầu tư của tỉnh như: Ưu tiên bố trí mặt bằng phù hợp với mục tiêu sản xuất, thu hút nhà đầu tư kinh doanh hạ tầng </w:t>
      </w:r>
      <w:r w:rsidR="00A51EB4">
        <w:rPr>
          <w:sz w:val="28"/>
          <w:szCs w:val="28"/>
          <w:lang w:val="vi-VN"/>
        </w:rPr>
        <w:t>CCN</w:t>
      </w:r>
      <w:r w:rsidRPr="00A0714D">
        <w:rPr>
          <w:sz w:val="28"/>
          <w:szCs w:val="28"/>
          <w:lang w:val="vi-VN"/>
        </w:rPr>
        <w:t>; Hỗ trợ kinh phí đào tạo</w:t>
      </w:r>
      <w:r w:rsidR="00A83912">
        <w:rPr>
          <w:sz w:val="28"/>
          <w:szCs w:val="28"/>
        </w:rPr>
        <w:t xml:space="preserve"> </w:t>
      </w:r>
      <w:r w:rsidRPr="00A0714D">
        <w:rPr>
          <w:sz w:val="28"/>
          <w:szCs w:val="28"/>
          <w:lang w:val="vi-VN"/>
        </w:rPr>
        <w:t>nghề…</w:t>
      </w:r>
    </w:p>
    <w:p w:rsidR="00A0714D" w:rsidRPr="00A0714D" w:rsidRDefault="00A0714D" w:rsidP="00E6676B">
      <w:pPr>
        <w:pStyle w:val="ListParagraph"/>
        <w:tabs>
          <w:tab w:val="left" w:pos="2490"/>
        </w:tabs>
        <w:spacing w:before="0" w:after="120"/>
        <w:ind w:left="0"/>
        <w:rPr>
          <w:sz w:val="28"/>
          <w:szCs w:val="28"/>
          <w:lang w:val="vi-VN"/>
        </w:rPr>
      </w:pPr>
      <w:r w:rsidRPr="00A0714D">
        <w:rPr>
          <w:sz w:val="28"/>
          <w:szCs w:val="28"/>
          <w:lang w:val="vi-VN"/>
        </w:rPr>
        <w:t>3.</w:t>
      </w:r>
      <w:r w:rsidR="00E26889">
        <w:rPr>
          <w:sz w:val="28"/>
          <w:szCs w:val="28"/>
        </w:rPr>
        <w:t xml:space="preserve"> </w:t>
      </w:r>
      <w:r w:rsidRPr="00A0714D">
        <w:rPr>
          <w:sz w:val="28"/>
          <w:szCs w:val="28"/>
          <w:lang w:val="vi-VN"/>
        </w:rPr>
        <w:t>Huy động các nguồn tài chính cho hoạt động khuyến</w:t>
      </w:r>
      <w:r w:rsidR="00E26889">
        <w:rPr>
          <w:sz w:val="28"/>
          <w:szCs w:val="28"/>
        </w:rPr>
        <w:t xml:space="preserve"> </w:t>
      </w:r>
      <w:r w:rsidRPr="00A0714D">
        <w:rPr>
          <w:sz w:val="28"/>
          <w:szCs w:val="28"/>
          <w:lang w:val="vi-VN"/>
        </w:rPr>
        <w:t>công:</w:t>
      </w:r>
    </w:p>
    <w:p w:rsidR="00A0714D" w:rsidRPr="00A0714D" w:rsidRDefault="00A0714D" w:rsidP="00E6676B">
      <w:pPr>
        <w:pStyle w:val="BodyText"/>
        <w:spacing w:before="0" w:beforeAutospacing="0" w:after="120" w:afterAutospacing="0"/>
        <w:ind w:firstLine="624"/>
        <w:jc w:val="both"/>
        <w:rPr>
          <w:sz w:val="28"/>
          <w:szCs w:val="28"/>
        </w:rPr>
      </w:pPr>
      <w:r w:rsidRPr="00A0714D">
        <w:rPr>
          <w:sz w:val="28"/>
          <w:szCs w:val="28"/>
        </w:rPr>
        <w:t xml:space="preserve">- Chủ động, tranh thủ nguồn kinh phí khuyến công quốc gia hàng năm, chương trình phát triển nguồn nhân lực cho doanh nghiệp nhỏ và vừa, nguồn hỗ trợ xây dựng hạ tầng </w:t>
      </w:r>
      <w:r w:rsidR="00A51EB4">
        <w:rPr>
          <w:sz w:val="28"/>
          <w:szCs w:val="28"/>
        </w:rPr>
        <w:t>CCN</w:t>
      </w:r>
      <w:r w:rsidRPr="00A0714D">
        <w:rPr>
          <w:sz w:val="28"/>
          <w:szCs w:val="28"/>
        </w:rPr>
        <w:t>. Bố trí lồng ghép các chương trình mục tiêu quốc gia, chương trình phát triển kinh tế - xã hội của tỉnh có liên quan và các nguồn vốn xã hội hóa tham gia vào chương trình khuyến công.</w:t>
      </w:r>
    </w:p>
    <w:p w:rsidR="00A0714D" w:rsidRPr="00A0714D" w:rsidRDefault="00A0714D" w:rsidP="00E6676B">
      <w:pPr>
        <w:pStyle w:val="BodyText"/>
        <w:spacing w:before="0" w:beforeAutospacing="0" w:after="120" w:afterAutospacing="0"/>
        <w:ind w:firstLine="624"/>
        <w:jc w:val="both"/>
        <w:rPr>
          <w:sz w:val="28"/>
          <w:szCs w:val="28"/>
        </w:rPr>
      </w:pPr>
      <w:r w:rsidRPr="00A0714D">
        <w:rPr>
          <w:sz w:val="28"/>
          <w:szCs w:val="28"/>
        </w:rPr>
        <w:t>- Thực hiện tốt mục tiêu đã được HĐND tỉnh phê duyệt tại Nghị quyết số 86/2018/NQ-HĐND ngày 1</w:t>
      </w:r>
      <w:r w:rsidR="002971E1">
        <w:rPr>
          <w:sz w:val="28"/>
          <w:szCs w:val="28"/>
          <w:lang w:val="en-US"/>
        </w:rPr>
        <w:t>8</w:t>
      </w:r>
      <w:r w:rsidRPr="00A0714D">
        <w:rPr>
          <w:sz w:val="28"/>
          <w:szCs w:val="28"/>
        </w:rPr>
        <w:t>/7/2018 quy định một số chính sách phát triển công nghiệp, trong đó ưu tiên dành kinh phí thích đáng để hỗ trợ các cơ sở CNNT trên địa bàn trong lĩnh vực công nghiệp nói chung và khuyến công nói riêng.</w:t>
      </w:r>
    </w:p>
    <w:p w:rsidR="00A0714D" w:rsidRPr="00A0714D" w:rsidRDefault="00A0714D" w:rsidP="00E6676B">
      <w:pPr>
        <w:pStyle w:val="BodyText"/>
        <w:spacing w:before="0" w:beforeAutospacing="0" w:after="120" w:afterAutospacing="0"/>
        <w:ind w:firstLine="624"/>
        <w:jc w:val="both"/>
        <w:rPr>
          <w:sz w:val="28"/>
          <w:szCs w:val="28"/>
        </w:rPr>
      </w:pPr>
      <w:r w:rsidRPr="00A0714D">
        <w:rPr>
          <w:sz w:val="28"/>
          <w:szCs w:val="28"/>
        </w:rPr>
        <w:t xml:space="preserve">- Ủy ban nhân dân các cấp, các sở ngành liên quan lập hoặc bổ sung kế hoạch ở cấp ngành mình, lồng ghép phối hợp với chương trình khuyến công của tỉnh, tăng cường hướng dẫn, kiểm tra giám sát cấp dưới, cơ sở triển khai mạnh </w:t>
      </w:r>
      <w:r w:rsidRPr="00A0714D">
        <w:rPr>
          <w:sz w:val="28"/>
          <w:szCs w:val="28"/>
        </w:rPr>
        <w:lastRenderedPageBreak/>
        <w:t>mẽ hoạt động khuyến công, tạo ra bước đột phá thúc đẩy phát triển CNNT trong tỉnh.</w:t>
      </w:r>
    </w:p>
    <w:p w:rsidR="00A0714D" w:rsidRPr="00A0714D" w:rsidRDefault="00A0714D" w:rsidP="00E6676B">
      <w:pPr>
        <w:pStyle w:val="BodyText"/>
        <w:spacing w:before="0" w:beforeAutospacing="0" w:after="120" w:afterAutospacing="0"/>
        <w:ind w:firstLine="624"/>
        <w:jc w:val="both"/>
        <w:rPr>
          <w:sz w:val="28"/>
          <w:szCs w:val="28"/>
        </w:rPr>
      </w:pPr>
      <w:r w:rsidRPr="00A0714D">
        <w:rPr>
          <w:sz w:val="28"/>
          <w:szCs w:val="28"/>
        </w:rPr>
        <w:t>- Chính quyền các cấp tạo mọi điều kiện để các cơ sở sản xuất kinh doanh theo pháp luật, tạo điều kiện hỗ trợ về mặt bằng sản xuất và vốn vay.</w:t>
      </w:r>
    </w:p>
    <w:p w:rsidR="00A0714D" w:rsidRPr="00A0714D" w:rsidRDefault="00A0714D" w:rsidP="00E6676B">
      <w:pPr>
        <w:pStyle w:val="ListParagraph"/>
        <w:tabs>
          <w:tab w:val="left" w:pos="2492"/>
        </w:tabs>
        <w:spacing w:before="0" w:after="120"/>
        <w:ind w:left="0"/>
        <w:rPr>
          <w:sz w:val="28"/>
          <w:szCs w:val="28"/>
          <w:lang w:val="vi-VN"/>
        </w:rPr>
      </w:pPr>
      <w:r w:rsidRPr="00A0714D">
        <w:rPr>
          <w:sz w:val="28"/>
          <w:szCs w:val="28"/>
          <w:lang w:val="vi-VN"/>
        </w:rPr>
        <w:t>4. Tăng cường</w:t>
      </w:r>
      <w:r w:rsidR="000D1C2E">
        <w:rPr>
          <w:sz w:val="28"/>
          <w:szCs w:val="28"/>
        </w:rPr>
        <w:t xml:space="preserve"> </w:t>
      </w:r>
      <w:r w:rsidRPr="00A0714D">
        <w:rPr>
          <w:sz w:val="28"/>
          <w:szCs w:val="28"/>
          <w:lang w:val="vi-VN"/>
        </w:rPr>
        <w:t xml:space="preserve">hỗ trợ kiến thức, phát triển thị trường tiêu thụ sản phẩm cho </w:t>
      </w:r>
      <w:r w:rsidR="00A83912" w:rsidRPr="00A83912">
        <w:rPr>
          <w:sz w:val="28"/>
          <w:szCs w:val="28"/>
          <w:lang w:val="sv-SE" w:eastAsia="vi-VN"/>
        </w:rPr>
        <w:t xml:space="preserve">cơ sở </w:t>
      </w:r>
      <w:r w:rsidR="00A51EB4">
        <w:rPr>
          <w:sz w:val="28"/>
          <w:szCs w:val="28"/>
          <w:lang w:val="sv-SE" w:eastAsia="vi-VN"/>
        </w:rPr>
        <w:t>CNNT</w:t>
      </w:r>
      <w:r w:rsidR="00A83912" w:rsidRPr="00A83912">
        <w:rPr>
          <w:sz w:val="28"/>
          <w:szCs w:val="28"/>
          <w:lang w:val="sv-SE" w:eastAsia="vi-VN"/>
        </w:rPr>
        <w:t>.</w:t>
      </w:r>
    </w:p>
    <w:p w:rsidR="00A0714D" w:rsidRPr="00A0714D" w:rsidRDefault="00A0714D" w:rsidP="00E6676B">
      <w:pPr>
        <w:pStyle w:val="BodyText"/>
        <w:spacing w:before="0" w:beforeAutospacing="0" w:after="120" w:afterAutospacing="0"/>
        <w:ind w:firstLine="624"/>
        <w:jc w:val="both"/>
        <w:rPr>
          <w:sz w:val="28"/>
          <w:szCs w:val="28"/>
        </w:rPr>
      </w:pPr>
      <w:r w:rsidRPr="00A0714D">
        <w:rPr>
          <w:sz w:val="28"/>
          <w:szCs w:val="28"/>
        </w:rPr>
        <w:t xml:space="preserve">- Tăng cường tư vấn, hỗ trợ cho các </w:t>
      </w:r>
      <w:r w:rsidR="00A83912" w:rsidRPr="00A83912">
        <w:rPr>
          <w:sz w:val="28"/>
          <w:szCs w:val="28"/>
          <w:lang w:val="sv-SE" w:eastAsia="vi-VN"/>
        </w:rPr>
        <w:t xml:space="preserve">cơ sở </w:t>
      </w:r>
      <w:r w:rsidR="00A51EB4">
        <w:rPr>
          <w:sz w:val="28"/>
          <w:szCs w:val="28"/>
          <w:lang w:val="sv-SE" w:eastAsia="vi-VN"/>
        </w:rPr>
        <w:t>CNNT</w:t>
      </w:r>
      <w:r w:rsidR="00A83912">
        <w:rPr>
          <w:sz w:val="28"/>
          <w:szCs w:val="28"/>
          <w:lang w:val="sv-SE" w:eastAsia="vi-VN"/>
        </w:rPr>
        <w:t xml:space="preserve"> </w:t>
      </w:r>
      <w:r w:rsidRPr="00A0714D">
        <w:rPr>
          <w:sz w:val="28"/>
          <w:szCs w:val="28"/>
        </w:rPr>
        <w:t xml:space="preserve">tìm hiểu, hợp đồng mua máy móc, thiết bị công nghệ phù hợp để nâng cao năng lực sản xuất và phát huy tối đa hiệu quả việc sản xuất, kinh doanh của cơ sở; </w:t>
      </w:r>
      <w:r w:rsidR="00835A7E">
        <w:rPr>
          <w:sz w:val="28"/>
          <w:szCs w:val="28"/>
          <w:lang w:val="en-US"/>
        </w:rPr>
        <w:t>k</w:t>
      </w:r>
      <w:r w:rsidRPr="00A0714D">
        <w:rPr>
          <w:sz w:val="28"/>
          <w:szCs w:val="28"/>
        </w:rPr>
        <w:t xml:space="preserve">huyến khích hỗ trợ kinh phí cho các doanh nghiệp, cơ sở sản xuất nghiên cứu, ứng dụng tiến bộ khoa học kỹ thuật và đổi mới công nghệ vào sản xuất </w:t>
      </w:r>
      <w:r w:rsidR="00A51EB4">
        <w:rPr>
          <w:sz w:val="28"/>
          <w:szCs w:val="28"/>
        </w:rPr>
        <w:t>CNNT</w:t>
      </w:r>
      <w:r w:rsidRPr="00A0714D">
        <w:rPr>
          <w:sz w:val="28"/>
          <w:szCs w:val="28"/>
        </w:rPr>
        <w:t xml:space="preserve">. Ưu tiên, hỗ trợ các doanh nghiệp đổi mới, áp dụng công nghệ tiên tiến, xử lý chất thải, xử lý ô nhiễm môi trường giải pháp </w:t>
      </w:r>
      <w:r w:rsidR="00A51EB4">
        <w:rPr>
          <w:sz w:val="28"/>
          <w:szCs w:val="28"/>
        </w:rPr>
        <w:t>SXSH</w:t>
      </w:r>
      <w:r w:rsidRPr="00A0714D">
        <w:rPr>
          <w:sz w:val="28"/>
          <w:szCs w:val="28"/>
        </w:rPr>
        <w:t xml:space="preserve"> trong công nghiệp.</w:t>
      </w:r>
    </w:p>
    <w:p w:rsidR="00A0714D" w:rsidRPr="002345C8" w:rsidRDefault="00A0714D" w:rsidP="00E6676B">
      <w:pPr>
        <w:pStyle w:val="BodyText"/>
        <w:spacing w:before="0" w:beforeAutospacing="0" w:after="120" w:afterAutospacing="0"/>
        <w:ind w:firstLine="624"/>
        <w:jc w:val="both"/>
        <w:rPr>
          <w:sz w:val="28"/>
          <w:szCs w:val="28"/>
          <w:lang w:val="en-US"/>
        </w:rPr>
      </w:pPr>
      <w:r w:rsidRPr="00A0714D">
        <w:rPr>
          <w:sz w:val="28"/>
          <w:szCs w:val="28"/>
        </w:rPr>
        <w:t xml:space="preserve">- Đẩy mạnh hỗ trợ các </w:t>
      </w:r>
      <w:r w:rsidR="00A83912" w:rsidRPr="00A83912">
        <w:rPr>
          <w:sz w:val="28"/>
          <w:szCs w:val="28"/>
          <w:lang w:val="sv-SE" w:eastAsia="vi-VN"/>
        </w:rPr>
        <w:t xml:space="preserve">cơ sở </w:t>
      </w:r>
      <w:r w:rsidR="00A51EB4">
        <w:rPr>
          <w:sz w:val="28"/>
          <w:szCs w:val="28"/>
          <w:lang w:val="sv-SE" w:eastAsia="vi-VN"/>
        </w:rPr>
        <w:t>CNNT</w:t>
      </w:r>
      <w:r w:rsidR="00A83912">
        <w:rPr>
          <w:sz w:val="28"/>
          <w:szCs w:val="28"/>
          <w:lang w:val="sv-SE" w:eastAsia="vi-VN"/>
        </w:rPr>
        <w:t xml:space="preserve"> </w:t>
      </w:r>
      <w:r w:rsidRPr="00A0714D">
        <w:rPr>
          <w:sz w:val="28"/>
          <w:szCs w:val="28"/>
        </w:rPr>
        <w:t>tiến hành các hoạt động giới thiệu, quảng bá sản phẩm để củng cố thị trường trong nước, đồng thời luôn chú trọng hỗ trợ cho các doanh nghiệp tiến hành tìm hiểu, khảo sát thị trường ở nước ngoài thông qua việc tham gia các kỳ hội nghị, hội chợ, triển lãm để từ đó có những hoạt động giới thiệu, quảng bá sản phẩm và mở rộng thị t</w:t>
      </w:r>
      <w:r w:rsidR="002345C8">
        <w:rPr>
          <w:sz w:val="28"/>
          <w:szCs w:val="28"/>
        </w:rPr>
        <w:t>rường tiêu thụ sản phẩm phù hợp</w:t>
      </w:r>
      <w:r w:rsidR="002345C8">
        <w:rPr>
          <w:sz w:val="28"/>
          <w:szCs w:val="28"/>
          <w:lang w:val="en-US"/>
        </w:rPr>
        <w:t>.</w:t>
      </w:r>
    </w:p>
    <w:p w:rsidR="00A0714D" w:rsidRPr="00A0714D" w:rsidRDefault="00A0714D" w:rsidP="00E6676B">
      <w:pPr>
        <w:pStyle w:val="ListParagraph"/>
        <w:tabs>
          <w:tab w:val="left" w:pos="2490"/>
        </w:tabs>
        <w:spacing w:before="0" w:after="120"/>
        <w:ind w:left="0"/>
        <w:rPr>
          <w:sz w:val="28"/>
          <w:szCs w:val="28"/>
          <w:lang w:val="vi-VN"/>
        </w:rPr>
      </w:pPr>
      <w:r w:rsidRPr="00A0714D">
        <w:rPr>
          <w:sz w:val="28"/>
          <w:szCs w:val="28"/>
          <w:lang w:val="vi-VN"/>
        </w:rPr>
        <w:t>5. Hỗ trợ cải tiến, đổi mới công</w:t>
      </w:r>
      <w:r w:rsidR="00835A7E">
        <w:rPr>
          <w:sz w:val="28"/>
          <w:szCs w:val="28"/>
        </w:rPr>
        <w:t xml:space="preserve"> </w:t>
      </w:r>
      <w:r w:rsidRPr="00A0714D">
        <w:rPr>
          <w:sz w:val="28"/>
          <w:szCs w:val="28"/>
          <w:lang w:val="vi-VN"/>
        </w:rPr>
        <w:t xml:space="preserve">nghệ cho các cơ sở: Tăng cường tư vấn, hỗ trợ cho các </w:t>
      </w:r>
      <w:r w:rsidR="00A83912" w:rsidRPr="00A83912">
        <w:rPr>
          <w:sz w:val="28"/>
          <w:szCs w:val="28"/>
          <w:lang w:val="sv-SE" w:eastAsia="vi-VN"/>
        </w:rPr>
        <w:t xml:space="preserve">cơ sở </w:t>
      </w:r>
      <w:r w:rsidR="00A51EB4">
        <w:rPr>
          <w:sz w:val="28"/>
          <w:szCs w:val="28"/>
          <w:lang w:val="sv-SE" w:eastAsia="vi-VN"/>
        </w:rPr>
        <w:t>CNNT</w:t>
      </w:r>
      <w:r w:rsidR="00A83912">
        <w:rPr>
          <w:sz w:val="28"/>
          <w:szCs w:val="28"/>
          <w:lang w:val="sv-SE" w:eastAsia="vi-VN"/>
        </w:rPr>
        <w:t xml:space="preserve"> </w:t>
      </w:r>
      <w:r w:rsidRPr="00A0714D">
        <w:rPr>
          <w:sz w:val="28"/>
          <w:szCs w:val="28"/>
          <w:lang w:val="vi-VN"/>
        </w:rPr>
        <w:t xml:space="preserve">tìm hiểu, hợp đồng mua máy móc, thiết bị công nghệ phù hợp để nâng cao năng lực sản xuất và phát huy tối đa hiệu quả việc sản xuất, kinh doanh của cơ sở; Khuyến khích hỗ trợ kinh phí cho các doanh nghiệp, cơ sở sản xuất nghiên cứu, ứng dụng tiến bộ khoa học kỹ thuật và đổi mới công nghệ vào sản xuất </w:t>
      </w:r>
      <w:r w:rsidR="00A51EB4">
        <w:rPr>
          <w:sz w:val="28"/>
          <w:szCs w:val="28"/>
          <w:lang w:val="vi-VN"/>
        </w:rPr>
        <w:t>CNNT</w:t>
      </w:r>
      <w:r w:rsidRPr="00A0714D">
        <w:rPr>
          <w:sz w:val="28"/>
          <w:szCs w:val="28"/>
          <w:lang w:val="vi-VN"/>
        </w:rPr>
        <w:t xml:space="preserve">. Ưu tiên, hỗ trợ các doanh nghiệp đổi mới, áp dụng công nghệ tiên tiến, xử lý chất thải, xử lý ô nhiễm môi trường giải pháp </w:t>
      </w:r>
      <w:r w:rsidR="00A51EB4">
        <w:rPr>
          <w:sz w:val="28"/>
          <w:szCs w:val="28"/>
          <w:lang w:val="vi-VN"/>
        </w:rPr>
        <w:t>SXSH</w:t>
      </w:r>
      <w:r w:rsidRPr="00A0714D">
        <w:rPr>
          <w:sz w:val="28"/>
          <w:szCs w:val="28"/>
          <w:lang w:val="vi-VN"/>
        </w:rPr>
        <w:t xml:space="preserve"> trong công nghiệp.</w:t>
      </w:r>
    </w:p>
    <w:p w:rsidR="00A0714D" w:rsidRPr="00A0714D" w:rsidRDefault="00A0714D" w:rsidP="00E6676B">
      <w:pPr>
        <w:pStyle w:val="BodyText"/>
        <w:spacing w:before="0" w:beforeAutospacing="0" w:after="120" w:afterAutospacing="0"/>
        <w:ind w:firstLine="624"/>
        <w:jc w:val="both"/>
        <w:rPr>
          <w:sz w:val="28"/>
          <w:szCs w:val="28"/>
        </w:rPr>
      </w:pPr>
      <w:r w:rsidRPr="00A0714D">
        <w:rPr>
          <w:sz w:val="28"/>
          <w:szCs w:val="28"/>
        </w:rPr>
        <w:t xml:space="preserve">6. </w:t>
      </w:r>
      <w:bookmarkStart w:id="4" w:name="_GoBack"/>
      <w:r w:rsidRPr="00A0714D">
        <w:rPr>
          <w:sz w:val="28"/>
          <w:szCs w:val="28"/>
        </w:rPr>
        <w:t xml:space="preserve">Thường xuyên tăng cường sự phối hợp hoạt động với các cơ quan quản lý nhà nước với các đoàn thể chính trị - xã hội - nghề nghiệp, các tổ chức tư vấn, các doanh nghiệp, cơ sở để triển khai mạnh mẽ, có hiệu quả hoạt động khuyến công trong tỉnh như phối hợp trong đào tạo nghề, khôi phục nghề, tập huấn nghiệp vụ và các hoạt động xúc tiến, xây dựng thương hiệu nhãn hiệu cho các cơ sở sản xuất </w:t>
      </w:r>
      <w:r w:rsidR="00A51EB4">
        <w:rPr>
          <w:sz w:val="28"/>
          <w:szCs w:val="28"/>
        </w:rPr>
        <w:t>CNNT</w:t>
      </w:r>
      <w:r w:rsidRPr="00A0714D">
        <w:rPr>
          <w:sz w:val="28"/>
          <w:szCs w:val="28"/>
        </w:rPr>
        <w:t xml:space="preserve"> trên địa bà</w:t>
      </w:r>
      <w:bookmarkEnd w:id="4"/>
      <w:r w:rsidRPr="00A0714D">
        <w:rPr>
          <w:sz w:val="28"/>
          <w:szCs w:val="28"/>
        </w:rPr>
        <w:t>n.</w:t>
      </w:r>
    </w:p>
    <w:p w:rsidR="005405F3" w:rsidRPr="00E00D44" w:rsidRDefault="009A6947" w:rsidP="00E6676B">
      <w:pPr>
        <w:spacing w:after="120"/>
        <w:ind w:firstLine="624"/>
        <w:jc w:val="both"/>
        <w:rPr>
          <w:rFonts w:eastAsia="Times New Roman"/>
          <w:b/>
          <w:bCs/>
          <w:szCs w:val="28"/>
          <w:lang w:eastAsia="vi-VN"/>
        </w:rPr>
      </w:pPr>
      <w:r w:rsidRPr="00F275B0">
        <w:rPr>
          <w:b/>
          <w:bCs/>
          <w:szCs w:val="28"/>
        </w:rPr>
        <w:t xml:space="preserve">Điều </w:t>
      </w:r>
      <w:r w:rsidRPr="006E0286">
        <w:rPr>
          <w:b/>
          <w:bCs/>
          <w:szCs w:val="28"/>
        </w:rPr>
        <w:t>2</w:t>
      </w:r>
      <w:r w:rsidRPr="00F275B0">
        <w:rPr>
          <w:b/>
          <w:bCs/>
          <w:szCs w:val="28"/>
        </w:rPr>
        <w:t>.</w:t>
      </w:r>
      <w:r w:rsidR="002971E1">
        <w:rPr>
          <w:b/>
          <w:bCs/>
          <w:szCs w:val="28"/>
          <w:lang w:val="en-US"/>
        </w:rPr>
        <w:t xml:space="preserve"> </w:t>
      </w:r>
      <w:r w:rsidR="00D822E3" w:rsidRPr="00E00D44">
        <w:rPr>
          <w:rFonts w:eastAsia="Times New Roman"/>
          <w:bCs/>
          <w:szCs w:val="28"/>
          <w:lang w:eastAsia="vi-VN"/>
        </w:rPr>
        <w:t>Tổ chức thực hiện</w:t>
      </w:r>
    </w:p>
    <w:p w:rsidR="005405F3" w:rsidRPr="00D822E3" w:rsidRDefault="005405F3" w:rsidP="00E6676B">
      <w:pPr>
        <w:spacing w:after="120"/>
        <w:ind w:firstLine="624"/>
        <w:jc w:val="both"/>
        <w:outlineLvl w:val="0"/>
        <w:rPr>
          <w:bCs/>
          <w:i/>
          <w:szCs w:val="28"/>
        </w:rPr>
      </w:pPr>
      <w:bookmarkStart w:id="5" w:name="_Toc203548911"/>
      <w:bookmarkStart w:id="6" w:name="_Toc203549482"/>
      <w:r w:rsidRPr="00D822E3">
        <w:rPr>
          <w:bCs/>
          <w:szCs w:val="28"/>
        </w:rPr>
        <w:t>1. Sở Công Thương</w:t>
      </w:r>
      <w:bookmarkStart w:id="7" w:name="_Toc203548912"/>
      <w:bookmarkStart w:id="8" w:name="_Toc203549483"/>
      <w:bookmarkEnd w:id="5"/>
      <w:bookmarkEnd w:id="6"/>
    </w:p>
    <w:p w:rsidR="005405F3" w:rsidRPr="00356BF7" w:rsidRDefault="005405F3" w:rsidP="00E6676B">
      <w:pPr>
        <w:spacing w:after="120"/>
        <w:ind w:firstLine="624"/>
        <w:jc w:val="both"/>
        <w:rPr>
          <w:szCs w:val="28"/>
        </w:rPr>
      </w:pPr>
      <w:r w:rsidRPr="00356BF7">
        <w:rPr>
          <w:szCs w:val="28"/>
        </w:rPr>
        <w:t xml:space="preserve">- Là cơ quan thường trực </w:t>
      </w:r>
      <w:r w:rsidR="00BC1353" w:rsidRPr="00E00D44">
        <w:rPr>
          <w:szCs w:val="28"/>
        </w:rPr>
        <w:t xml:space="preserve">tham mưu </w:t>
      </w:r>
      <w:r w:rsidRPr="00356BF7">
        <w:rPr>
          <w:szCs w:val="28"/>
        </w:rPr>
        <w:t>giúp UBND tỉnh tổ chức thực hiện Chương trình. Chủ trì phối hợp với các cơ quan liên quan xây dựng kế hoạch, dự toán kinh phí, kế hoạch tạm ứng, thanh quyết toán kinh phí hàng năm để thực hiện Chương trình khuyến công của tỉnh, trình cấp có thẩm quyền thẩm định, phê duyệt theo quy định.</w:t>
      </w:r>
    </w:p>
    <w:p w:rsidR="005405F3" w:rsidRPr="00356BF7" w:rsidRDefault="005405F3" w:rsidP="00E6676B">
      <w:pPr>
        <w:spacing w:after="120"/>
        <w:ind w:firstLine="624"/>
        <w:jc w:val="both"/>
        <w:rPr>
          <w:szCs w:val="28"/>
        </w:rPr>
      </w:pPr>
      <w:r w:rsidRPr="00356BF7">
        <w:rPr>
          <w:szCs w:val="28"/>
        </w:rPr>
        <w:lastRenderedPageBreak/>
        <w:t xml:space="preserve">- Chủ trì phối hợp với các cơ quan liên quan tham mưu, đề xuất UBND tỉnh quyết định hình thức hỗ trợ từ nguồn kinh phí khuyến công địa phương và các cơ chế chính sách. </w:t>
      </w:r>
      <w:bookmarkEnd w:id="7"/>
      <w:bookmarkEnd w:id="8"/>
    </w:p>
    <w:p w:rsidR="005405F3" w:rsidRPr="00356BF7" w:rsidRDefault="005405F3" w:rsidP="00E6676B">
      <w:pPr>
        <w:spacing w:after="120"/>
        <w:ind w:firstLine="624"/>
        <w:jc w:val="both"/>
        <w:rPr>
          <w:szCs w:val="28"/>
        </w:rPr>
      </w:pPr>
      <w:r w:rsidRPr="00356BF7">
        <w:rPr>
          <w:szCs w:val="28"/>
        </w:rPr>
        <w:t>- Chủ trì xây dựng các dự án khuyến công có sử dụng kinh phí khuyến công quốc gia, báo cáo UBND tỉnh và Bộ Công Thương xem xét, quyết định.</w:t>
      </w:r>
    </w:p>
    <w:p w:rsidR="005405F3" w:rsidRPr="00356BF7" w:rsidRDefault="005405F3" w:rsidP="00E6676B">
      <w:pPr>
        <w:spacing w:after="120"/>
        <w:ind w:firstLine="624"/>
        <w:jc w:val="both"/>
        <w:rPr>
          <w:szCs w:val="28"/>
        </w:rPr>
      </w:pPr>
      <w:r w:rsidRPr="00356BF7">
        <w:rPr>
          <w:szCs w:val="28"/>
        </w:rPr>
        <w:t>- Chủ trì phối hợp với các Sở, ngành liên quan</w:t>
      </w:r>
      <w:r w:rsidRPr="00356BF7">
        <w:rPr>
          <w:bCs/>
          <w:szCs w:val="28"/>
        </w:rPr>
        <w:t xml:space="preserve"> hướng dẫn UBND các huyện, thành, thị, các đoàn thể tổ chức triển khai thực hiện chương trình</w:t>
      </w:r>
      <w:r w:rsidRPr="00356BF7">
        <w:rPr>
          <w:szCs w:val="28"/>
        </w:rPr>
        <w:t xml:space="preserve">. Tổ chức kiểm tra, thanh tra, giải quyết khiếu nại, tố cáo trong các hoạt động khuyến công trên địa bàn tỉnh nhằm tháo gỡ khó khăn tạo điều kiện thuận lợi cho phát triển </w:t>
      </w:r>
      <w:r w:rsidR="00A51EB4">
        <w:rPr>
          <w:szCs w:val="28"/>
        </w:rPr>
        <w:t>CNNT</w:t>
      </w:r>
      <w:r w:rsidRPr="00356BF7">
        <w:rPr>
          <w:szCs w:val="28"/>
        </w:rPr>
        <w:t>.</w:t>
      </w:r>
    </w:p>
    <w:p w:rsidR="005405F3" w:rsidRPr="00356BF7" w:rsidRDefault="005405F3" w:rsidP="00E6676B">
      <w:pPr>
        <w:spacing w:after="120"/>
        <w:ind w:firstLine="624"/>
        <w:jc w:val="both"/>
        <w:rPr>
          <w:szCs w:val="28"/>
        </w:rPr>
      </w:pPr>
      <w:r w:rsidRPr="00356BF7">
        <w:rPr>
          <w:szCs w:val="28"/>
        </w:rPr>
        <w:t xml:space="preserve">- Trung tâm Khuyến công và Xúc tiến thương mại </w:t>
      </w:r>
      <w:r w:rsidR="002971E1">
        <w:rPr>
          <w:szCs w:val="28"/>
          <w:lang w:val="en-US"/>
        </w:rPr>
        <w:t xml:space="preserve">Hà Tĩnh </w:t>
      </w:r>
      <w:r w:rsidRPr="00356BF7">
        <w:rPr>
          <w:szCs w:val="28"/>
        </w:rPr>
        <w:t xml:space="preserve">(thuộc Sở Công Thương) là </w:t>
      </w:r>
      <w:r w:rsidR="0052511B">
        <w:rPr>
          <w:szCs w:val="28"/>
          <w:lang w:val="en-US"/>
        </w:rPr>
        <w:t xml:space="preserve">đơn vị </w:t>
      </w:r>
      <w:r w:rsidRPr="00356BF7">
        <w:rPr>
          <w:szCs w:val="28"/>
        </w:rPr>
        <w:t>đầu mối triển khai hoạt động khuyến công theo chương trình, kế hoạch đã được UBND tỉnh phê duyệt</w:t>
      </w:r>
      <w:r w:rsidR="00835A7E">
        <w:rPr>
          <w:szCs w:val="28"/>
          <w:lang w:val="en-US"/>
        </w:rPr>
        <w:t>,</w:t>
      </w:r>
      <w:r w:rsidRPr="00356BF7">
        <w:rPr>
          <w:szCs w:val="28"/>
        </w:rPr>
        <w:t xml:space="preserve"> thực hiện đầy đủ chế độ báo cáo, thanh quyết toán theo quy định.</w:t>
      </w:r>
    </w:p>
    <w:p w:rsidR="005405F3" w:rsidRPr="00356BF7" w:rsidRDefault="005405F3" w:rsidP="00E6676B">
      <w:pPr>
        <w:spacing w:after="120"/>
        <w:ind w:firstLine="624"/>
        <w:jc w:val="both"/>
        <w:rPr>
          <w:b/>
          <w:bCs/>
          <w:i/>
          <w:szCs w:val="28"/>
        </w:rPr>
      </w:pPr>
      <w:r w:rsidRPr="00D822E3">
        <w:rPr>
          <w:szCs w:val="28"/>
        </w:rPr>
        <w:t xml:space="preserve">2. </w:t>
      </w:r>
      <w:r w:rsidRPr="00D822E3">
        <w:rPr>
          <w:bCs/>
          <w:szCs w:val="28"/>
        </w:rPr>
        <w:t>Sở Kế hoạch và Đầ</w:t>
      </w:r>
      <w:r w:rsidR="0052511B">
        <w:rPr>
          <w:bCs/>
          <w:szCs w:val="28"/>
        </w:rPr>
        <w:t>u tư</w:t>
      </w:r>
      <w:r w:rsidR="00EC14CE">
        <w:rPr>
          <w:bCs/>
          <w:szCs w:val="28"/>
          <w:lang w:val="en-US"/>
        </w:rPr>
        <w:t xml:space="preserve">: </w:t>
      </w:r>
      <w:r w:rsidR="0052511B">
        <w:rPr>
          <w:bCs/>
          <w:szCs w:val="28"/>
          <w:lang w:val="en-US"/>
        </w:rPr>
        <w:t>C</w:t>
      </w:r>
      <w:r w:rsidRPr="00356BF7">
        <w:rPr>
          <w:bCs/>
          <w:szCs w:val="28"/>
        </w:rPr>
        <w:t>hủ trì,</w:t>
      </w:r>
      <w:r w:rsidRPr="00356BF7">
        <w:rPr>
          <w:szCs w:val="28"/>
        </w:rPr>
        <w:t xml:space="preserve"> phối hợp với các cơ quan liên quan, tổng hợp, cân đối, lồng ghép các nguồn lực, các chương trình phát triển kinh tế - xã hội với kế hoạch khuyến công hàng năm. </w:t>
      </w:r>
    </w:p>
    <w:p w:rsidR="009D1584" w:rsidRDefault="005405F3" w:rsidP="00E6676B">
      <w:pPr>
        <w:spacing w:after="120"/>
        <w:ind w:firstLine="624"/>
        <w:jc w:val="both"/>
        <w:rPr>
          <w:bCs/>
          <w:szCs w:val="28"/>
          <w:lang w:val="en-US"/>
        </w:rPr>
      </w:pPr>
      <w:r w:rsidRPr="00D822E3">
        <w:rPr>
          <w:bCs/>
          <w:szCs w:val="28"/>
        </w:rPr>
        <w:t>3. Sở Tài chính:</w:t>
      </w:r>
      <w:bookmarkStart w:id="9" w:name="_Toc203548914"/>
      <w:bookmarkStart w:id="10" w:name="_Toc203549485"/>
      <w:r w:rsidR="00A83912">
        <w:rPr>
          <w:bCs/>
          <w:szCs w:val="28"/>
          <w:lang w:val="en-US"/>
        </w:rPr>
        <w:t xml:space="preserve"> </w:t>
      </w:r>
    </w:p>
    <w:p w:rsidR="00D27B8E" w:rsidRPr="009D1584" w:rsidRDefault="00D27B8E" w:rsidP="00E6676B">
      <w:pPr>
        <w:spacing w:after="120"/>
        <w:ind w:firstLine="624"/>
        <w:jc w:val="both"/>
        <w:rPr>
          <w:szCs w:val="28"/>
          <w:lang w:val="en-US"/>
        </w:rPr>
      </w:pPr>
      <w:r w:rsidRPr="009D1584">
        <w:rPr>
          <w:szCs w:val="28"/>
        </w:rPr>
        <w:t xml:space="preserve">Hàng năm trên cơ sở dự toán của Sở Công </w:t>
      </w:r>
      <w:r w:rsidR="008E3B0A" w:rsidRPr="009D1584">
        <w:rPr>
          <w:szCs w:val="28"/>
          <w:lang w:val="en-US"/>
        </w:rPr>
        <w:t>T</w:t>
      </w:r>
      <w:r w:rsidRPr="009D1584">
        <w:rPr>
          <w:szCs w:val="28"/>
        </w:rPr>
        <w:t>hương, căn cứ vào khả năng cân</w:t>
      </w:r>
      <w:r w:rsidRPr="009D1584">
        <w:rPr>
          <w:szCs w:val="28"/>
          <w:lang w:val="en-US"/>
        </w:rPr>
        <w:t xml:space="preserve"> </w:t>
      </w:r>
      <w:r w:rsidRPr="009D1584">
        <w:rPr>
          <w:szCs w:val="28"/>
        </w:rPr>
        <w:t>đối ngân sách tỉnh, tham mưu bố trí kinh phí thực hiện Chương trình trong dự toán</w:t>
      </w:r>
      <w:r w:rsidRPr="009D1584">
        <w:rPr>
          <w:szCs w:val="28"/>
          <w:lang w:val="en-US"/>
        </w:rPr>
        <w:t xml:space="preserve"> </w:t>
      </w:r>
      <w:r w:rsidRPr="009D1584">
        <w:rPr>
          <w:szCs w:val="28"/>
        </w:rPr>
        <w:t>sự nghiệp công thương đầu năm</w:t>
      </w:r>
      <w:r w:rsidR="005405F3" w:rsidRPr="009D1584">
        <w:rPr>
          <w:szCs w:val="28"/>
        </w:rPr>
        <w:t>.</w:t>
      </w:r>
    </w:p>
    <w:p w:rsidR="005405F3" w:rsidRPr="00D27B8E" w:rsidRDefault="005405F3" w:rsidP="00E6676B">
      <w:pPr>
        <w:spacing w:after="120"/>
        <w:ind w:firstLine="624"/>
        <w:jc w:val="both"/>
        <w:rPr>
          <w:szCs w:val="28"/>
          <w:lang w:val="en-US"/>
        </w:rPr>
      </w:pPr>
      <w:r w:rsidRPr="00356BF7">
        <w:rPr>
          <w:szCs w:val="28"/>
        </w:rPr>
        <w:t>Hướng dẫn, quản lý và kiểm tra việc sử dụng kinh phí và thanh quyết toán kinh phí thực hiện chương trình.</w:t>
      </w:r>
      <w:bookmarkEnd w:id="9"/>
      <w:bookmarkEnd w:id="10"/>
    </w:p>
    <w:p w:rsidR="005405F3" w:rsidRPr="00356BF7" w:rsidRDefault="005405F3" w:rsidP="00E6676B">
      <w:pPr>
        <w:spacing w:after="120"/>
        <w:ind w:firstLine="624"/>
        <w:jc w:val="both"/>
        <w:rPr>
          <w:szCs w:val="28"/>
        </w:rPr>
      </w:pPr>
      <w:r w:rsidRPr="00D822E3">
        <w:rPr>
          <w:szCs w:val="28"/>
        </w:rPr>
        <w:t>4. Sở Lao động - Thương binh và Xã hộ</w:t>
      </w:r>
      <w:r w:rsidR="0052511B">
        <w:rPr>
          <w:szCs w:val="28"/>
        </w:rPr>
        <w:t>i</w:t>
      </w:r>
      <w:r w:rsidR="00EC14CE">
        <w:rPr>
          <w:szCs w:val="28"/>
          <w:lang w:val="en-US"/>
        </w:rPr>
        <w:t xml:space="preserve">: </w:t>
      </w:r>
      <w:r w:rsidR="0052511B">
        <w:rPr>
          <w:szCs w:val="28"/>
          <w:lang w:val="en-US"/>
        </w:rPr>
        <w:t>P</w:t>
      </w:r>
      <w:r w:rsidRPr="00356BF7">
        <w:rPr>
          <w:szCs w:val="28"/>
        </w:rPr>
        <w:t>hối hợp với Sở Công Thương tổ chức đào tạo nghề đáp ứng nhu cầu tuyển dụng lao động của các doanh nghiệp, cơ sở sản xuất CN-TTCN trên địa bàn tỉnh.</w:t>
      </w:r>
    </w:p>
    <w:p w:rsidR="005405F3" w:rsidRPr="00356BF7" w:rsidRDefault="005405F3" w:rsidP="00E6676B">
      <w:pPr>
        <w:spacing w:after="120"/>
        <w:ind w:firstLine="624"/>
        <w:jc w:val="both"/>
        <w:rPr>
          <w:szCs w:val="28"/>
        </w:rPr>
      </w:pPr>
      <w:r w:rsidRPr="00D822E3">
        <w:rPr>
          <w:szCs w:val="28"/>
        </w:rPr>
        <w:t>5. Sở Thông tin và Truyền thông:</w:t>
      </w:r>
      <w:r w:rsidR="00A83912">
        <w:rPr>
          <w:szCs w:val="28"/>
          <w:lang w:val="en-US"/>
        </w:rPr>
        <w:t xml:space="preserve"> </w:t>
      </w:r>
      <w:r w:rsidR="0052511B">
        <w:rPr>
          <w:szCs w:val="28"/>
          <w:lang w:val="en-US"/>
        </w:rPr>
        <w:t>P</w:t>
      </w:r>
      <w:r w:rsidRPr="00356BF7">
        <w:rPr>
          <w:szCs w:val="28"/>
        </w:rPr>
        <w:t xml:space="preserve">hối hợp với Sở Công Thương trong việc xuất bản, phát hành bản tin, ấn phẩm, xây dựng cơ sở dữ liệu </w:t>
      </w:r>
      <w:r w:rsidR="00A51EB4">
        <w:rPr>
          <w:szCs w:val="28"/>
        </w:rPr>
        <w:t>CNNT</w:t>
      </w:r>
      <w:r w:rsidRPr="00356BF7">
        <w:rPr>
          <w:szCs w:val="28"/>
        </w:rPr>
        <w:t>, trang thông tin điện tử và hỗ trợ các doanh nghiệp đẩy mạnh ứng dụng công nghệ thông tin, phát triển thương mại điện tử để giúp các doanh nghiệp có thêm kênh giới thiệu, quảng bá sản phẩm trong và ngoài nước.</w:t>
      </w:r>
    </w:p>
    <w:p w:rsidR="005405F3" w:rsidRPr="00356BF7" w:rsidRDefault="005405F3" w:rsidP="00E6676B">
      <w:pPr>
        <w:spacing w:after="120"/>
        <w:ind w:firstLine="624"/>
        <w:jc w:val="both"/>
        <w:rPr>
          <w:i/>
          <w:szCs w:val="28"/>
        </w:rPr>
      </w:pPr>
      <w:r w:rsidRPr="00D822E3">
        <w:rPr>
          <w:bCs/>
          <w:szCs w:val="28"/>
        </w:rPr>
        <w:t>6. Các Sở, ngành liên quan</w:t>
      </w:r>
      <w:r w:rsidRPr="00356BF7">
        <w:rPr>
          <w:b/>
          <w:bCs/>
          <w:szCs w:val="28"/>
        </w:rPr>
        <w:t xml:space="preserve"> (</w:t>
      </w:r>
      <w:r w:rsidRPr="00356BF7">
        <w:rPr>
          <w:bCs/>
          <w:szCs w:val="28"/>
        </w:rPr>
        <w:t xml:space="preserve">Khoa học và Công nghệ, Tài nguyên </w:t>
      </w:r>
      <w:r w:rsidR="0052511B">
        <w:rPr>
          <w:bCs/>
          <w:szCs w:val="28"/>
          <w:lang w:val="en-US"/>
        </w:rPr>
        <w:t>và</w:t>
      </w:r>
      <w:r w:rsidRPr="00356BF7">
        <w:rPr>
          <w:bCs/>
          <w:szCs w:val="28"/>
        </w:rPr>
        <w:t xml:space="preserve"> Môi trường, Nông nghiệp và Phát triển nông thôn,</w:t>
      </w:r>
      <w:r w:rsidRPr="00356BF7">
        <w:rPr>
          <w:szCs w:val="28"/>
        </w:rPr>
        <w:t xml:space="preserve"> Xây dựng, Giao thông Vận tải, Ngân hàng Nhà nước chi nhánh Hà Tĩnh…): </w:t>
      </w:r>
      <w:r w:rsidR="009F24CD">
        <w:rPr>
          <w:szCs w:val="28"/>
          <w:lang w:val="en-US"/>
        </w:rPr>
        <w:t>c</w:t>
      </w:r>
      <w:r w:rsidRPr="00356BF7">
        <w:rPr>
          <w:szCs w:val="28"/>
        </w:rPr>
        <w:t>ăn cứ chức năng</w:t>
      </w:r>
      <w:r w:rsidR="0052511B">
        <w:rPr>
          <w:szCs w:val="28"/>
          <w:lang w:val="en-US"/>
        </w:rPr>
        <w:t xml:space="preserve">, nhiệm vụ </w:t>
      </w:r>
      <w:r w:rsidRPr="00356BF7">
        <w:rPr>
          <w:szCs w:val="28"/>
        </w:rPr>
        <w:t>quản lý nhà nước</w:t>
      </w:r>
      <w:r w:rsidR="0052511B">
        <w:rPr>
          <w:szCs w:val="28"/>
          <w:lang w:val="en-US"/>
        </w:rPr>
        <w:t>,</w:t>
      </w:r>
      <w:r w:rsidRPr="00356BF7">
        <w:rPr>
          <w:szCs w:val="28"/>
        </w:rPr>
        <w:t xml:space="preserve"> phối hợp với Sở Công Thương thực hiện chương trình. </w:t>
      </w:r>
    </w:p>
    <w:p w:rsidR="005405F3" w:rsidRPr="00356BF7" w:rsidRDefault="005405F3" w:rsidP="00E6676B">
      <w:pPr>
        <w:spacing w:after="120"/>
        <w:ind w:firstLine="624"/>
        <w:jc w:val="both"/>
        <w:rPr>
          <w:szCs w:val="28"/>
        </w:rPr>
      </w:pPr>
      <w:r w:rsidRPr="00D822E3">
        <w:rPr>
          <w:bCs/>
          <w:szCs w:val="28"/>
        </w:rPr>
        <w:t>7. Các đoàn thể, tổ chức chính trị, xã hội</w:t>
      </w:r>
      <w:r w:rsidR="00A83912">
        <w:rPr>
          <w:bCs/>
          <w:szCs w:val="28"/>
          <w:lang w:val="en-US"/>
        </w:rPr>
        <w:t>,</w:t>
      </w:r>
      <w:r w:rsidRPr="00D822E3">
        <w:rPr>
          <w:bCs/>
          <w:szCs w:val="28"/>
        </w:rPr>
        <w:t xml:space="preserve"> đơn vị thông tin </w:t>
      </w:r>
      <w:r w:rsidR="00D822E3" w:rsidRPr="00E00D44">
        <w:rPr>
          <w:bCs/>
          <w:szCs w:val="28"/>
        </w:rPr>
        <w:t>truyền thông</w:t>
      </w:r>
      <w:r w:rsidR="009F24CD">
        <w:rPr>
          <w:bCs/>
          <w:szCs w:val="28"/>
          <w:lang w:val="en-US"/>
        </w:rPr>
        <w:t xml:space="preserve"> </w:t>
      </w:r>
      <w:r w:rsidR="00835A7E">
        <w:rPr>
          <w:bCs/>
          <w:szCs w:val="28"/>
          <w:lang w:val="en-US"/>
        </w:rPr>
        <w:t>(</w:t>
      </w:r>
      <w:r w:rsidRPr="00356BF7">
        <w:rPr>
          <w:bCs/>
          <w:szCs w:val="28"/>
        </w:rPr>
        <w:t>Đài Phát thanh và Truyền hình Hà Tĩnh, Báo Hà Tĩnh</w:t>
      </w:r>
      <w:r w:rsidR="00A83912">
        <w:rPr>
          <w:bCs/>
          <w:szCs w:val="28"/>
          <w:lang w:val="en-US"/>
        </w:rPr>
        <w:t xml:space="preserve"> </w:t>
      </w:r>
      <w:r w:rsidRPr="00356BF7">
        <w:rPr>
          <w:bCs/>
          <w:szCs w:val="28"/>
        </w:rPr>
        <w:t>và các phương tiện thông tin đại chúng</w:t>
      </w:r>
      <w:r w:rsidR="00835A7E">
        <w:rPr>
          <w:bCs/>
          <w:szCs w:val="28"/>
          <w:lang w:val="en-US"/>
        </w:rPr>
        <w:t>)</w:t>
      </w:r>
      <w:r w:rsidRPr="00356BF7">
        <w:rPr>
          <w:bCs/>
          <w:szCs w:val="28"/>
        </w:rPr>
        <w:t>:</w:t>
      </w:r>
      <w:r w:rsidR="00A83912">
        <w:rPr>
          <w:bCs/>
          <w:szCs w:val="28"/>
          <w:lang w:val="en-US"/>
        </w:rPr>
        <w:t xml:space="preserve"> </w:t>
      </w:r>
      <w:r w:rsidR="009F24CD">
        <w:rPr>
          <w:bCs/>
          <w:szCs w:val="28"/>
          <w:lang w:val="en-US"/>
        </w:rPr>
        <w:t>t</w:t>
      </w:r>
      <w:r w:rsidRPr="00356BF7">
        <w:rPr>
          <w:szCs w:val="28"/>
        </w:rPr>
        <w:t xml:space="preserve">ăng thời lượng thông tin, tuyên truyền chủ trương chính sách khuyến khích phát triển công nghiệp của Đảng, Nhà nước và của tỉnh; giới thiệu tình hình, kết quả hoạt động khuyến công, các mô hình trình diễn kỹ thuật, các </w:t>
      </w:r>
      <w:r w:rsidRPr="00356BF7">
        <w:rPr>
          <w:szCs w:val="28"/>
        </w:rPr>
        <w:lastRenderedPageBreak/>
        <w:t xml:space="preserve">mô hình </w:t>
      </w:r>
      <w:r w:rsidR="00A51EB4">
        <w:rPr>
          <w:szCs w:val="28"/>
        </w:rPr>
        <w:t>SXSH</w:t>
      </w:r>
      <w:r w:rsidRPr="00356BF7">
        <w:rPr>
          <w:szCs w:val="28"/>
        </w:rPr>
        <w:t xml:space="preserve">, mô hình sản xuất kinh doanh tốt, công nghệ, kỹ thuật tiến bộ, sản phẩm mới, sản phẩm tiêu biểu, những làng nghề, doanh nhân thành đạt… góp phần thúc đẩy phát triển CNNT. </w:t>
      </w:r>
    </w:p>
    <w:p w:rsidR="005405F3" w:rsidRPr="00356BF7" w:rsidRDefault="005405F3" w:rsidP="00E6676B">
      <w:pPr>
        <w:spacing w:after="120"/>
        <w:ind w:firstLine="624"/>
        <w:jc w:val="both"/>
        <w:outlineLvl w:val="0"/>
        <w:rPr>
          <w:szCs w:val="28"/>
        </w:rPr>
      </w:pPr>
      <w:r w:rsidRPr="00356BF7">
        <w:rPr>
          <w:bCs/>
          <w:szCs w:val="28"/>
        </w:rPr>
        <w:t>Các đoàn thể, tổ chức chính trị, xã hội</w:t>
      </w:r>
      <w:r w:rsidR="00A83912">
        <w:rPr>
          <w:bCs/>
          <w:szCs w:val="28"/>
          <w:lang w:val="en-US"/>
        </w:rPr>
        <w:t xml:space="preserve"> </w:t>
      </w:r>
      <w:r w:rsidRPr="00356BF7">
        <w:rPr>
          <w:szCs w:val="28"/>
        </w:rPr>
        <w:t xml:space="preserve">tập trung </w:t>
      </w:r>
      <w:r w:rsidR="00BC1353" w:rsidRPr="00E00D44">
        <w:rPr>
          <w:szCs w:val="28"/>
        </w:rPr>
        <w:t>t</w:t>
      </w:r>
      <w:r w:rsidRPr="00356BF7">
        <w:rPr>
          <w:szCs w:val="28"/>
        </w:rPr>
        <w:t>uyên truyền vận động các cá nhân, tập thể, tổ chức, doanh nghiệp tích cực tham gia thực hiện chương trình và phối hợp với Sở Công Thương, UBND các cấp trong hoạt động khuyến công.</w:t>
      </w:r>
    </w:p>
    <w:p w:rsidR="005405F3" w:rsidRPr="00356BF7" w:rsidRDefault="005405F3" w:rsidP="00E6676B">
      <w:pPr>
        <w:spacing w:after="120"/>
        <w:ind w:firstLine="624"/>
        <w:jc w:val="both"/>
        <w:rPr>
          <w:szCs w:val="28"/>
        </w:rPr>
      </w:pPr>
      <w:r w:rsidRPr="00D822E3">
        <w:rPr>
          <w:szCs w:val="28"/>
        </w:rPr>
        <w:t>8</w:t>
      </w:r>
      <w:r w:rsidR="00D822E3">
        <w:rPr>
          <w:szCs w:val="28"/>
        </w:rPr>
        <w:t xml:space="preserve">. UBND </w:t>
      </w:r>
      <w:r w:rsidRPr="00D822E3">
        <w:rPr>
          <w:szCs w:val="28"/>
        </w:rPr>
        <w:t>huyện, thành phố, thị xã</w:t>
      </w:r>
      <w:r w:rsidR="009D1584">
        <w:rPr>
          <w:szCs w:val="28"/>
          <w:lang w:val="en-US"/>
        </w:rPr>
        <w:t xml:space="preserve">: </w:t>
      </w:r>
      <w:r w:rsidR="00A83912">
        <w:rPr>
          <w:szCs w:val="28"/>
          <w:lang w:val="en-US"/>
        </w:rPr>
        <w:t>Chủ động x</w:t>
      </w:r>
      <w:r w:rsidRPr="00356BF7">
        <w:rPr>
          <w:szCs w:val="28"/>
        </w:rPr>
        <w:t xml:space="preserve">ây dựng kế hoạch triển khai thực hiện Chương trình này, </w:t>
      </w:r>
      <w:r w:rsidR="00A83912">
        <w:rPr>
          <w:szCs w:val="28"/>
          <w:lang w:val="en-US"/>
        </w:rPr>
        <w:t xml:space="preserve">đề xuất </w:t>
      </w:r>
      <w:r w:rsidRPr="00356BF7">
        <w:rPr>
          <w:szCs w:val="28"/>
        </w:rPr>
        <w:t>kế hoạch khuyến công hàng năm; cân đối, bố trí kinh phí hàng năm để hỗ trợ phát triển hoạt động khuyến công trên địa bàn</w:t>
      </w:r>
      <w:r w:rsidR="00A83912">
        <w:rPr>
          <w:szCs w:val="28"/>
          <w:lang w:val="en-US"/>
        </w:rPr>
        <w:t xml:space="preserve"> </w:t>
      </w:r>
      <w:r w:rsidRPr="00356BF7">
        <w:rPr>
          <w:szCs w:val="28"/>
        </w:rPr>
        <w:t xml:space="preserve">và tổ chức chỉ đạo thực hiện; chủ động phối hợp với các ngành, các cấp giải quyết kịp thời khó khăn tháo gỡ vướng mắc tạo điều kiện để </w:t>
      </w:r>
      <w:r w:rsidR="00A51EB4">
        <w:rPr>
          <w:szCs w:val="28"/>
        </w:rPr>
        <w:t>CNNT</w:t>
      </w:r>
      <w:r w:rsidRPr="00356BF7">
        <w:rPr>
          <w:szCs w:val="28"/>
        </w:rPr>
        <w:t xml:space="preserve"> phát triển.</w:t>
      </w:r>
    </w:p>
    <w:p w:rsidR="009A6947" w:rsidRPr="00F275B0" w:rsidRDefault="005405F3" w:rsidP="00E6676B">
      <w:pPr>
        <w:spacing w:after="120"/>
        <w:ind w:firstLine="624"/>
        <w:jc w:val="both"/>
        <w:rPr>
          <w:szCs w:val="28"/>
        </w:rPr>
      </w:pPr>
      <w:r w:rsidRPr="00E00D44">
        <w:rPr>
          <w:b/>
          <w:szCs w:val="28"/>
        </w:rPr>
        <w:t xml:space="preserve">Điều 3. </w:t>
      </w:r>
      <w:r w:rsidR="009A6947" w:rsidRPr="00F275B0">
        <w:rPr>
          <w:szCs w:val="28"/>
        </w:rPr>
        <w:t>Quyết định</w:t>
      </w:r>
      <w:r w:rsidR="009A6947" w:rsidRPr="006E0286">
        <w:rPr>
          <w:szCs w:val="28"/>
        </w:rPr>
        <w:t xml:space="preserve"> này</w:t>
      </w:r>
      <w:r w:rsidR="009A6947" w:rsidRPr="00F275B0">
        <w:rPr>
          <w:szCs w:val="28"/>
        </w:rPr>
        <w:t xml:space="preserve"> có hiệu lực</w:t>
      </w:r>
      <w:r w:rsidR="009A6947" w:rsidRPr="006E0286">
        <w:rPr>
          <w:szCs w:val="28"/>
        </w:rPr>
        <w:t xml:space="preserve"> </w:t>
      </w:r>
      <w:r w:rsidR="009A6947" w:rsidRPr="00F275B0">
        <w:rPr>
          <w:szCs w:val="28"/>
        </w:rPr>
        <w:t xml:space="preserve">kể từ ngày </w:t>
      </w:r>
      <w:r w:rsidR="009D1584">
        <w:rPr>
          <w:szCs w:val="28"/>
          <w:lang w:val="en-US"/>
        </w:rPr>
        <w:t>ban hành</w:t>
      </w:r>
      <w:r w:rsidR="009A6947" w:rsidRPr="00F275B0">
        <w:rPr>
          <w:szCs w:val="28"/>
        </w:rPr>
        <w:t>.</w:t>
      </w:r>
    </w:p>
    <w:p w:rsidR="00955AB1" w:rsidRPr="008774F6" w:rsidRDefault="009A6947" w:rsidP="009D1584">
      <w:pPr>
        <w:spacing w:after="360"/>
        <w:ind w:firstLine="624"/>
        <w:jc w:val="both"/>
        <w:rPr>
          <w:szCs w:val="28"/>
        </w:rPr>
      </w:pPr>
      <w:r w:rsidRPr="00BC1353">
        <w:rPr>
          <w:szCs w:val="28"/>
        </w:rPr>
        <w:t xml:space="preserve">Chánh Văn phòng </w:t>
      </w:r>
      <w:r w:rsidR="00BC1353" w:rsidRPr="00E00D44">
        <w:rPr>
          <w:szCs w:val="28"/>
        </w:rPr>
        <w:t>Đoàn ĐBQH, HĐND và UBND tỉnh;</w:t>
      </w:r>
      <w:r w:rsidRPr="00BC1353">
        <w:rPr>
          <w:szCs w:val="28"/>
        </w:rPr>
        <w:t xml:space="preserve"> Giám </w:t>
      </w:r>
      <w:r w:rsidRPr="00D822E3">
        <w:rPr>
          <w:szCs w:val="28"/>
        </w:rPr>
        <w:t xml:space="preserve">đốc, Thủ </w:t>
      </w:r>
      <w:r w:rsidRPr="009A6947">
        <w:rPr>
          <w:szCs w:val="28"/>
        </w:rPr>
        <w:t>trưởng</w:t>
      </w:r>
      <w:r w:rsidRPr="006E0286">
        <w:rPr>
          <w:szCs w:val="28"/>
        </w:rPr>
        <w:t xml:space="preserve"> các sở</w:t>
      </w:r>
      <w:r w:rsidRPr="009A6947">
        <w:rPr>
          <w:szCs w:val="28"/>
        </w:rPr>
        <w:t>, ban, ngành cấp tỉnh; Chủ tịch UBND các huyện, thành phố, thị xã và Thủ trưởng các cơ quan, đơn vị liên quan chịu trách nhiệm thi hành Quyết định này./.</w:t>
      </w:r>
    </w:p>
    <w:tbl>
      <w:tblPr>
        <w:tblW w:w="0" w:type="auto"/>
        <w:tblBorders>
          <w:insideH w:val="single" w:sz="4" w:space="0" w:color="auto"/>
        </w:tblBorders>
        <w:tblLook w:val="0000" w:firstRow="0" w:lastRow="0" w:firstColumn="0" w:lastColumn="0" w:noHBand="0" w:noVBand="0"/>
      </w:tblPr>
      <w:tblGrid>
        <w:gridCol w:w="4786"/>
        <w:gridCol w:w="4502"/>
      </w:tblGrid>
      <w:tr w:rsidR="009A6947" w:rsidRPr="00F275B0" w:rsidTr="00E174EC">
        <w:tc>
          <w:tcPr>
            <w:tcW w:w="4786" w:type="dxa"/>
            <w:tcBorders>
              <w:bottom w:val="nil"/>
            </w:tcBorders>
          </w:tcPr>
          <w:p w:rsidR="009A6947" w:rsidRPr="00F275B0" w:rsidRDefault="009A6947" w:rsidP="00C32941">
            <w:pPr>
              <w:spacing w:before="120"/>
              <w:rPr>
                <w:b/>
                <w:bCs/>
                <w:i/>
                <w:iCs/>
                <w:sz w:val="24"/>
              </w:rPr>
            </w:pPr>
            <w:r w:rsidRPr="00F275B0">
              <w:rPr>
                <w:b/>
                <w:bCs/>
                <w:i/>
                <w:iCs/>
                <w:sz w:val="24"/>
              </w:rPr>
              <w:t>Nơi nhận:</w:t>
            </w:r>
          </w:p>
          <w:p w:rsidR="009A6947" w:rsidRPr="008774F6" w:rsidRDefault="009A6947" w:rsidP="00C32941">
            <w:pPr>
              <w:rPr>
                <w:sz w:val="22"/>
              </w:rPr>
            </w:pPr>
            <w:r w:rsidRPr="00F275B0">
              <w:rPr>
                <w:sz w:val="22"/>
              </w:rPr>
              <w:t xml:space="preserve">- Như Điều </w:t>
            </w:r>
            <w:r w:rsidR="00FF6259" w:rsidRPr="00E00D44">
              <w:rPr>
                <w:sz w:val="22"/>
              </w:rPr>
              <w:t>3</w:t>
            </w:r>
            <w:r w:rsidRPr="00F275B0">
              <w:rPr>
                <w:sz w:val="22"/>
              </w:rPr>
              <w:t>;</w:t>
            </w:r>
          </w:p>
          <w:p w:rsidR="000955EC" w:rsidRPr="008774F6" w:rsidRDefault="000955EC" w:rsidP="00C32941">
            <w:pPr>
              <w:rPr>
                <w:sz w:val="22"/>
              </w:rPr>
            </w:pPr>
            <w:r w:rsidRPr="00F275B0">
              <w:rPr>
                <w:sz w:val="22"/>
              </w:rPr>
              <w:t>- Bộ Công Thương;</w:t>
            </w:r>
          </w:p>
          <w:p w:rsidR="00FB5C4B" w:rsidRPr="008774F6" w:rsidRDefault="00FB5C4B" w:rsidP="00C32941">
            <w:pPr>
              <w:rPr>
                <w:sz w:val="22"/>
              </w:rPr>
            </w:pPr>
            <w:r w:rsidRPr="008774F6">
              <w:rPr>
                <w:sz w:val="22"/>
              </w:rPr>
              <w:t>- TTr. Tỉnh ủy, TTr. HĐND tỉnh;</w:t>
            </w:r>
          </w:p>
          <w:p w:rsidR="00FB5C4B" w:rsidRPr="005F12FF" w:rsidRDefault="00FB5C4B" w:rsidP="00C32941">
            <w:pPr>
              <w:rPr>
                <w:sz w:val="22"/>
              </w:rPr>
            </w:pPr>
            <w:r w:rsidRPr="005F12FF">
              <w:rPr>
                <w:sz w:val="22"/>
              </w:rPr>
              <w:t>- Chủ tịch, các PCT UBND tỉnh;</w:t>
            </w:r>
          </w:p>
          <w:p w:rsidR="00FB5C4B" w:rsidRPr="005F12FF" w:rsidRDefault="00FB5C4B" w:rsidP="00C32941">
            <w:pPr>
              <w:rPr>
                <w:sz w:val="22"/>
              </w:rPr>
            </w:pPr>
            <w:r w:rsidRPr="005F12FF">
              <w:rPr>
                <w:sz w:val="22"/>
              </w:rPr>
              <w:t>- Sở Tư pháp Hà Tĩnh;</w:t>
            </w:r>
          </w:p>
          <w:p w:rsidR="00FB5C4B" w:rsidRPr="005F12FF" w:rsidRDefault="00FB5C4B" w:rsidP="00C32941">
            <w:pPr>
              <w:rPr>
                <w:sz w:val="22"/>
              </w:rPr>
            </w:pPr>
            <w:r w:rsidRPr="005F12FF">
              <w:rPr>
                <w:sz w:val="22"/>
              </w:rPr>
              <w:t>- Chánh, PVP UB</w:t>
            </w:r>
            <w:r w:rsidR="00FC79AD" w:rsidRPr="005F12FF">
              <w:rPr>
                <w:sz w:val="22"/>
              </w:rPr>
              <w:t>ND tỉnh;</w:t>
            </w:r>
          </w:p>
          <w:p w:rsidR="009A6947" w:rsidRPr="005F12FF" w:rsidRDefault="009A6947" w:rsidP="00C32941">
            <w:pPr>
              <w:rPr>
                <w:sz w:val="22"/>
              </w:rPr>
            </w:pPr>
            <w:r w:rsidRPr="00F275B0">
              <w:rPr>
                <w:sz w:val="22"/>
              </w:rPr>
              <w:t xml:space="preserve">- Lưu: VT, </w:t>
            </w:r>
            <w:r w:rsidR="00E6676B">
              <w:rPr>
                <w:sz w:val="22"/>
                <w:lang w:val="en-US"/>
              </w:rPr>
              <w:t>KT</w:t>
            </w:r>
            <w:r w:rsidR="00017202" w:rsidRPr="005F12FF">
              <w:rPr>
                <w:sz w:val="22"/>
                <w:vertAlign w:val="subscript"/>
              </w:rPr>
              <w:t>1</w:t>
            </w:r>
            <w:r w:rsidRPr="005F12FF">
              <w:rPr>
                <w:sz w:val="22"/>
              </w:rPr>
              <w:t>.</w:t>
            </w:r>
          </w:p>
          <w:p w:rsidR="00017202" w:rsidRPr="005F12FF" w:rsidRDefault="00017202" w:rsidP="00E174EC">
            <w:pPr>
              <w:ind w:firstLine="284"/>
              <w:rPr>
                <w:sz w:val="26"/>
              </w:rPr>
            </w:pPr>
          </w:p>
        </w:tc>
        <w:tc>
          <w:tcPr>
            <w:tcW w:w="4502" w:type="dxa"/>
            <w:tcBorders>
              <w:bottom w:val="nil"/>
            </w:tcBorders>
          </w:tcPr>
          <w:p w:rsidR="009A6947" w:rsidRPr="00E6676B" w:rsidRDefault="009A6947" w:rsidP="00E6676B">
            <w:pPr>
              <w:jc w:val="center"/>
              <w:rPr>
                <w:b/>
                <w:bCs/>
                <w:sz w:val="26"/>
                <w:szCs w:val="26"/>
              </w:rPr>
            </w:pPr>
            <w:r w:rsidRPr="00E6676B">
              <w:rPr>
                <w:b/>
                <w:bCs/>
                <w:sz w:val="26"/>
                <w:szCs w:val="26"/>
              </w:rPr>
              <w:t>TM. ỦY BAN NHÂN DÂN</w:t>
            </w:r>
          </w:p>
          <w:p w:rsidR="009A6947" w:rsidRPr="00E6676B" w:rsidRDefault="00630408" w:rsidP="00E6676B">
            <w:pPr>
              <w:jc w:val="center"/>
              <w:rPr>
                <w:b/>
                <w:bCs/>
                <w:sz w:val="26"/>
                <w:szCs w:val="26"/>
                <w:lang w:val="en-US"/>
              </w:rPr>
            </w:pPr>
            <w:r w:rsidRPr="00E6676B">
              <w:rPr>
                <w:b/>
                <w:bCs/>
                <w:sz w:val="26"/>
                <w:szCs w:val="26"/>
              </w:rPr>
              <w:t>KT.</w:t>
            </w:r>
            <w:r w:rsidR="00E26889" w:rsidRPr="00E6676B">
              <w:rPr>
                <w:b/>
                <w:bCs/>
                <w:sz w:val="26"/>
                <w:szCs w:val="26"/>
                <w:lang w:val="en-US"/>
              </w:rPr>
              <w:t xml:space="preserve"> </w:t>
            </w:r>
            <w:r w:rsidR="009A6947" w:rsidRPr="00E6676B">
              <w:rPr>
                <w:b/>
                <w:bCs/>
                <w:sz w:val="26"/>
                <w:szCs w:val="26"/>
              </w:rPr>
              <w:t>CHỦ TỊCH</w:t>
            </w:r>
          </w:p>
          <w:p w:rsidR="00A83912" w:rsidRPr="00E6676B" w:rsidRDefault="00A83912" w:rsidP="00E6676B">
            <w:pPr>
              <w:jc w:val="center"/>
              <w:rPr>
                <w:b/>
                <w:bCs/>
                <w:sz w:val="26"/>
                <w:szCs w:val="26"/>
                <w:lang w:val="en-US"/>
              </w:rPr>
            </w:pPr>
            <w:r w:rsidRPr="00E6676B">
              <w:rPr>
                <w:b/>
                <w:bCs/>
                <w:sz w:val="26"/>
                <w:szCs w:val="26"/>
                <w:lang w:val="en-US"/>
              </w:rPr>
              <w:t>PHÓ CHỦ TỊCH</w:t>
            </w:r>
          </w:p>
          <w:p w:rsidR="00630408" w:rsidRPr="005F12FF" w:rsidRDefault="00630408" w:rsidP="00E6676B">
            <w:pPr>
              <w:jc w:val="center"/>
              <w:rPr>
                <w:b/>
                <w:bCs/>
                <w:szCs w:val="28"/>
              </w:rPr>
            </w:pPr>
          </w:p>
          <w:p w:rsidR="00630408" w:rsidRPr="005F12FF" w:rsidRDefault="00630408" w:rsidP="00E6676B">
            <w:pPr>
              <w:jc w:val="center"/>
              <w:rPr>
                <w:b/>
                <w:bCs/>
                <w:szCs w:val="28"/>
              </w:rPr>
            </w:pPr>
          </w:p>
          <w:p w:rsidR="00630408" w:rsidRPr="005F12FF" w:rsidRDefault="00630408" w:rsidP="00E6676B">
            <w:pPr>
              <w:jc w:val="center"/>
              <w:rPr>
                <w:b/>
                <w:bCs/>
                <w:szCs w:val="28"/>
              </w:rPr>
            </w:pPr>
          </w:p>
          <w:p w:rsidR="00630408" w:rsidRPr="00E6676B" w:rsidRDefault="00630408" w:rsidP="00E6676B">
            <w:pPr>
              <w:jc w:val="center"/>
              <w:rPr>
                <w:b/>
                <w:bCs/>
                <w:sz w:val="96"/>
                <w:szCs w:val="96"/>
              </w:rPr>
            </w:pPr>
          </w:p>
          <w:p w:rsidR="009A6947" w:rsidRPr="005F12FF" w:rsidRDefault="00E6676B" w:rsidP="00E6676B">
            <w:pPr>
              <w:jc w:val="center"/>
              <w:rPr>
                <w:b/>
                <w:bCs/>
                <w:szCs w:val="28"/>
              </w:rPr>
            </w:pPr>
            <w:r>
              <w:rPr>
                <w:b/>
                <w:bCs/>
                <w:szCs w:val="28"/>
                <w:lang w:val="en-US"/>
              </w:rPr>
              <w:t xml:space="preserve">       Nguyễn  Hồng  Lĩnh</w:t>
            </w:r>
          </w:p>
        </w:tc>
      </w:tr>
    </w:tbl>
    <w:p w:rsidR="009A6947" w:rsidRDefault="009A6947" w:rsidP="00043DDF">
      <w:pPr>
        <w:rPr>
          <w:rFonts w:eastAsia="Times New Roman"/>
          <w:b/>
          <w:bCs/>
          <w:szCs w:val="28"/>
          <w:lang w:val="sv-SE" w:eastAsia="vi-VN"/>
        </w:rPr>
      </w:pPr>
      <w:bookmarkStart w:id="11" w:name="dieu_2_1"/>
      <w:bookmarkEnd w:id="0"/>
      <w:bookmarkEnd w:id="11"/>
    </w:p>
    <w:p w:rsidR="00E01848" w:rsidRDefault="00E01848" w:rsidP="00043DDF">
      <w:pPr>
        <w:rPr>
          <w:rFonts w:eastAsia="Times New Roman"/>
          <w:b/>
          <w:bCs/>
          <w:szCs w:val="28"/>
          <w:lang w:val="sv-SE" w:eastAsia="vi-VN"/>
        </w:rPr>
      </w:pPr>
    </w:p>
    <w:p w:rsidR="00E01848" w:rsidRDefault="00E01848" w:rsidP="00043DDF">
      <w:pPr>
        <w:rPr>
          <w:rFonts w:eastAsia="Times New Roman"/>
          <w:b/>
          <w:bCs/>
          <w:szCs w:val="28"/>
          <w:lang w:val="sv-SE" w:eastAsia="vi-VN"/>
        </w:rPr>
      </w:pPr>
    </w:p>
    <w:p w:rsidR="00E01848" w:rsidRDefault="00E01848" w:rsidP="00043DDF">
      <w:pPr>
        <w:rPr>
          <w:rFonts w:eastAsia="Times New Roman"/>
          <w:b/>
          <w:bCs/>
          <w:szCs w:val="28"/>
          <w:lang w:val="sv-SE" w:eastAsia="vi-VN"/>
        </w:rPr>
      </w:pPr>
    </w:p>
    <w:p w:rsidR="00E01848" w:rsidRDefault="00E01848" w:rsidP="00043DDF">
      <w:pPr>
        <w:rPr>
          <w:rFonts w:eastAsia="Times New Roman"/>
          <w:b/>
          <w:bCs/>
          <w:szCs w:val="28"/>
          <w:lang w:val="sv-SE" w:eastAsia="vi-VN"/>
        </w:rPr>
      </w:pPr>
    </w:p>
    <w:p w:rsidR="00E01848" w:rsidRDefault="00E01848" w:rsidP="00043DDF">
      <w:pPr>
        <w:rPr>
          <w:rFonts w:eastAsia="Times New Roman"/>
          <w:b/>
          <w:bCs/>
          <w:szCs w:val="28"/>
          <w:lang w:val="sv-SE" w:eastAsia="vi-VN"/>
        </w:rPr>
      </w:pPr>
    </w:p>
    <w:p w:rsidR="00E01848" w:rsidRDefault="00E01848" w:rsidP="00043DDF">
      <w:pPr>
        <w:rPr>
          <w:rFonts w:eastAsia="Times New Roman"/>
          <w:b/>
          <w:bCs/>
          <w:szCs w:val="28"/>
          <w:lang w:val="sv-SE" w:eastAsia="vi-VN"/>
        </w:rPr>
      </w:pPr>
    </w:p>
    <w:p w:rsidR="00E01848" w:rsidRDefault="00E01848" w:rsidP="00043DDF">
      <w:pPr>
        <w:rPr>
          <w:rFonts w:eastAsia="Times New Roman"/>
          <w:b/>
          <w:bCs/>
          <w:szCs w:val="28"/>
          <w:lang w:val="sv-SE" w:eastAsia="vi-VN"/>
        </w:rPr>
      </w:pPr>
    </w:p>
    <w:p w:rsidR="00E01848" w:rsidRDefault="00E01848" w:rsidP="00043DDF">
      <w:pPr>
        <w:rPr>
          <w:rFonts w:eastAsia="Times New Roman"/>
          <w:b/>
          <w:bCs/>
          <w:szCs w:val="28"/>
          <w:lang w:val="sv-SE" w:eastAsia="vi-VN"/>
        </w:rPr>
      </w:pPr>
    </w:p>
    <w:p w:rsidR="00E01848" w:rsidRDefault="00E01848" w:rsidP="00043DDF">
      <w:pPr>
        <w:rPr>
          <w:rFonts w:eastAsia="Times New Roman"/>
          <w:b/>
          <w:bCs/>
          <w:szCs w:val="28"/>
          <w:lang w:val="sv-SE" w:eastAsia="vi-VN"/>
        </w:rPr>
      </w:pPr>
    </w:p>
    <w:p w:rsidR="00E01848" w:rsidRDefault="00E01848" w:rsidP="00043DDF">
      <w:pPr>
        <w:rPr>
          <w:rFonts w:eastAsia="Times New Roman"/>
          <w:b/>
          <w:bCs/>
          <w:szCs w:val="28"/>
          <w:lang w:val="sv-SE" w:eastAsia="vi-VN"/>
        </w:rPr>
      </w:pPr>
    </w:p>
    <w:p w:rsidR="00E01848" w:rsidRDefault="00E01848" w:rsidP="00043DDF">
      <w:pPr>
        <w:rPr>
          <w:rFonts w:eastAsia="Times New Roman"/>
          <w:b/>
          <w:bCs/>
          <w:szCs w:val="28"/>
          <w:lang w:val="sv-SE" w:eastAsia="vi-VN"/>
        </w:rPr>
      </w:pPr>
    </w:p>
    <w:p w:rsidR="00E01848" w:rsidRDefault="00E01848" w:rsidP="00043DDF">
      <w:pPr>
        <w:rPr>
          <w:rFonts w:eastAsia="Times New Roman"/>
          <w:b/>
          <w:bCs/>
          <w:szCs w:val="28"/>
          <w:lang w:val="sv-SE" w:eastAsia="vi-VN"/>
        </w:rPr>
      </w:pPr>
    </w:p>
    <w:p w:rsidR="00E01848" w:rsidRDefault="00E01848" w:rsidP="00043DDF">
      <w:pPr>
        <w:rPr>
          <w:rFonts w:eastAsia="Times New Roman"/>
          <w:b/>
          <w:bCs/>
          <w:szCs w:val="28"/>
          <w:lang w:val="sv-SE" w:eastAsia="vi-VN"/>
        </w:rPr>
      </w:pPr>
    </w:p>
    <w:p w:rsidR="00E01848" w:rsidRDefault="00E01848" w:rsidP="00043DDF">
      <w:pPr>
        <w:rPr>
          <w:rFonts w:eastAsia="Times New Roman"/>
          <w:b/>
          <w:bCs/>
          <w:szCs w:val="28"/>
          <w:lang w:val="sv-SE" w:eastAsia="vi-VN"/>
        </w:rPr>
      </w:pPr>
    </w:p>
    <w:p w:rsidR="00E01848" w:rsidRDefault="00E01848" w:rsidP="00043DDF">
      <w:pPr>
        <w:rPr>
          <w:rFonts w:eastAsia="Times New Roman"/>
          <w:b/>
          <w:bCs/>
          <w:szCs w:val="28"/>
          <w:lang w:val="sv-SE" w:eastAsia="vi-VN"/>
        </w:rPr>
        <w:sectPr w:rsidR="00E01848" w:rsidSect="00EC14CE">
          <w:headerReference w:type="default" r:id="rId8"/>
          <w:footerReference w:type="even" r:id="rId9"/>
          <w:footerReference w:type="default" r:id="rId10"/>
          <w:pgSz w:w="11907" w:h="16840" w:code="9"/>
          <w:pgMar w:top="1134" w:right="1134" w:bottom="1134" w:left="1701" w:header="397" w:footer="680" w:gutter="0"/>
          <w:cols w:space="708"/>
          <w:titlePg/>
          <w:docGrid w:linePitch="381"/>
        </w:sectPr>
      </w:pPr>
    </w:p>
    <w:p w:rsidR="00E01848" w:rsidRDefault="00E01848" w:rsidP="00E01848">
      <w:pPr>
        <w:jc w:val="center"/>
        <w:rPr>
          <w:rFonts w:eastAsia="Times New Roman"/>
          <w:b/>
          <w:bCs/>
          <w:szCs w:val="28"/>
          <w:lang w:val="sv-SE" w:eastAsia="vi-VN"/>
        </w:rPr>
      </w:pPr>
      <w:r w:rsidRPr="00E01848">
        <w:rPr>
          <w:rFonts w:eastAsia="Times New Roman"/>
          <w:b/>
          <w:bCs/>
          <w:szCs w:val="28"/>
          <w:lang w:val="sv-SE" w:eastAsia="vi-VN"/>
        </w:rPr>
        <w:lastRenderedPageBreak/>
        <w:t>Phụ lục 1</w:t>
      </w:r>
    </w:p>
    <w:p w:rsidR="00E01848" w:rsidRDefault="00E01848" w:rsidP="00E01848">
      <w:pPr>
        <w:jc w:val="center"/>
        <w:rPr>
          <w:rFonts w:eastAsia="Times New Roman"/>
          <w:b/>
          <w:bCs/>
          <w:szCs w:val="28"/>
          <w:lang w:val="sv-SE" w:eastAsia="vi-VN"/>
        </w:rPr>
      </w:pPr>
      <w:r w:rsidRPr="00E01848">
        <w:rPr>
          <w:rFonts w:eastAsia="Times New Roman"/>
          <w:b/>
          <w:bCs/>
          <w:szCs w:val="28"/>
          <w:lang w:val="sv-SE" w:eastAsia="vi-VN"/>
        </w:rPr>
        <w:t>TỔNG HỢP KINH PHÍ THỰC HIỆN CHƯƠNG TRÌNH KHUYẾN CÔNG</w:t>
      </w:r>
      <w:r>
        <w:rPr>
          <w:rFonts w:eastAsia="Times New Roman"/>
          <w:b/>
          <w:bCs/>
          <w:szCs w:val="28"/>
          <w:lang w:val="sv-SE" w:eastAsia="vi-VN"/>
        </w:rPr>
        <w:t xml:space="preserve"> </w:t>
      </w:r>
      <w:r w:rsidRPr="00E01848">
        <w:rPr>
          <w:rFonts w:eastAsia="Times New Roman"/>
          <w:b/>
          <w:bCs/>
          <w:szCs w:val="28"/>
          <w:lang w:val="sv-SE" w:eastAsia="vi-VN"/>
        </w:rPr>
        <w:t>GIAI ĐOẠN 2021-2025</w:t>
      </w:r>
    </w:p>
    <w:p w:rsidR="00E01848" w:rsidRDefault="00E01848" w:rsidP="00E01848">
      <w:pPr>
        <w:jc w:val="center"/>
        <w:rPr>
          <w:rFonts w:eastAsia="Times New Roman"/>
          <w:bCs/>
          <w:szCs w:val="28"/>
          <w:lang w:val="sv-SE" w:eastAsia="vi-VN"/>
        </w:rPr>
      </w:pPr>
      <w:r w:rsidRPr="00E01848">
        <w:rPr>
          <w:rFonts w:eastAsia="Times New Roman"/>
          <w:bCs/>
          <w:i/>
          <w:szCs w:val="28"/>
          <w:lang w:val="sv-SE" w:eastAsia="vi-VN"/>
        </w:rPr>
        <w:t>(kèm theo Quyết định số</w:t>
      </w:r>
      <w:r>
        <w:rPr>
          <w:rFonts w:eastAsia="Times New Roman"/>
          <w:bCs/>
          <w:i/>
          <w:szCs w:val="28"/>
          <w:lang w:val="sv-SE" w:eastAsia="vi-VN"/>
        </w:rPr>
        <w:t>:</w:t>
      </w:r>
      <w:r w:rsidRPr="00E01848">
        <w:rPr>
          <w:rFonts w:eastAsia="Times New Roman"/>
          <w:bCs/>
          <w:i/>
          <w:szCs w:val="28"/>
          <w:lang w:val="sv-SE" w:eastAsia="vi-VN"/>
        </w:rPr>
        <w:t xml:space="preserve"> </w:t>
      </w:r>
      <w:r w:rsidR="00567DBE">
        <w:rPr>
          <w:rFonts w:eastAsia="Times New Roman"/>
          <w:bCs/>
          <w:i/>
          <w:szCs w:val="28"/>
          <w:lang w:val="sv-SE" w:eastAsia="vi-VN"/>
        </w:rPr>
        <w:t>4197</w:t>
      </w:r>
      <w:r w:rsidRPr="00E01848">
        <w:rPr>
          <w:rFonts w:eastAsia="Times New Roman"/>
          <w:bCs/>
          <w:i/>
          <w:szCs w:val="28"/>
          <w:lang w:val="sv-SE" w:eastAsia="vi-VN"/>
        </w:rPr>
        <w:t xml:space="preserve">/QĐ-UBND ngày </w:t>
      </w:r>
      <w:r w:rsidR="00567DBE">
        <w:rPr>
          <w:rFonts w:eastAsia="Times New Roman"/>
          <w:bCs/>
          <w:i/>
          <w:szCs w:val="28"/>
          <w:lang w:val="sv-SE" w:eastAsia="vi-VN"/>
        </w:rPr>
        <w:t>08</w:t>
      </w:r>
      <w:r w:rsidRPr="00E01848">
        <w:rPr>
          <w:rFonts w:eastAsia="Times New Roman"/>
          <w:bCs/>
          <w:i/>
          <w:szCs w:val="28"/>
          <w:lang w:val="sv-SE" w:eastAsia="vi-VN"/>
        </w:rPr>
        <w:t>/12/2020 của UBND tỉnh)</w:t>
      </w:r>
    </w:p>
    <w:p w:rsidR="00E01848" w:rsidRDefault="00E01848" w:rsidP="00E01848">
      <w:pPr>
        <w:jc w:val="center"/>
        <w:rPr>
          <w:rFonts w:eastAsia="Times New Roman"/>
          <w:bCs/>
          <w:szCs w:val="28"/>
          <w:lang w:val="sv-SE" w:eastAsia="vi-VN"/>
        </w:rPr>
      </w:pPr>
    </w:p>
    <w:p w:rsidR="00E01848" w:rsidRDefault="00E01848" w:rsidP="00E01848">
      <w:pPr>
        <w:spacing w:after="120"/>
        <w:jc w:val="right"/>
        <w:rPr>
          <w:rFonts w:eastAsia="Times New Roman"/>
          <w:bCs/>
          <w:szCs w:val="28"/>
          <w:lang w:val="sv-SE" w:eastAsia="vi-VN"/>
        </w:rPr>
      </w:pPr>
      <w:r w:rsidRPr="00E01848">
        <w:rPr>
          <w:rFonts w:eastAsia="Times New Roman"/>
          <w:bCs/>
          <w:i/>
          <w:szCs w:val="28"/>
          <w:lang w:val="sv-SE" w:eastAsia="vi-VN"/>
        </w:rPr>
        <w:t xml:space="preserve">Đơn vị tính: </w:t>
      </w:r>
      <w:r>
        <w:rPr>
          <w:rFonts w:eastAsia="Times New Roman"/>
          <w:bCs/>
          <w:i/>
          <w:szCs w:val="28"/>
          <w:lang w:val="sv-SE" w:eastAsia="vi-VN"/>
        </w:rPr>
        <w:t>triệu</w:t>
      </w:r>
      <w:r w:rsidRPr="00E01848">
        <w:rPr>
          <w:rFonts w:eastAsia="Times New Roman"/>
          <w:bCs/>
          <w:i/>
          <w:szCs w:val="28"/>
          <w:lang w:val="sv-SE" w:eastAsia="vi-VN"/>
        </w:rPr>
        <w:t xml:space="preserve"> đồng</w:t>
      </w:r>
    </w:p>
    <w:tbl>
      <w:tblPr>
        <w:tblW w:w="0" w:type="auto"/>
        <w:tblLook w:val="04A0" w:firstRow="1" w:lastRow="0" w:firstColumn="1" w:lastColumn="0" w:noHBand="0" w:noVBand="1"/>
      </w:tblPr>
      <w:tblGrid>
        <w:gridCol w:w="563"/>
        <w:gridCol w:w="9776"/>
        <w:gridCol w:w="1138"/>
        <w:gridCol w:w="1541"/>
        <w:gridCol w:w="1770"/>
      </w:tblGrid>
      <w:tr w:rsidR="00E01848" w:rsidRPr="00E01848" w:rsidTr="00E01848">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848" w:rsidRPr="00E01848" w:rsidRDefault="00E01848" w:rsidP="00E01848">
            <w:pPr>
              <w:jc w:val="center"/>
              <w:rPr>
                <w:rFonts w:eastAsia="Times New Roman"/>
                <w:b/>
                <w:bCs/>
                <w:color w:val="000000"/>
                <w:sz w:val="26"/>
                <w:szCs w:val="26"/>
                <w:lang w:val="en-US"/>
              </w:rPr>
            </w:pPr>
            <w:r w:rsidRPr="00E01848">
              <w:rPr>
                <w:rFonts w:eastAsia="Times New Roman"/>
                <w:b/>
                <w:bCs/>
                <w:color w:val="000000"/>
                <w:sz w:val="26"/>
                <w:szCs w:val="26"/>
                <w:lang w:val="en-US"/>
              </w:rPr>
              <w:t>TT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848" w:rsidRPr="00E01848" w:rsidRDefault="00E01848" w:rsidP="00E01848">
            <w:pPr>
              <w:jc w:val="center"/>
              <w:rPr>
                <w:rFonts w:eastAsia="Times New Roman"/>
                <w:b/>
                <w:bCs/>
                <w:color w:val="000000"/>
                <w:sz w:val="26"/>
                <w:szCs w:val="26"/>
                <w:lang w:val="en-US"/>
              </w:rPr>
            </w:pPr>
            <w:r w:rsidRPr="00E01848">
              <w:rPr>
                <w:rFonts w:eastAsia="Times New Roman"/>
                <w:b/>
                <w:bCs/>
                <w:color w:val="000000"/>
                <w:sz w:val="26"/>
                <w:szCs w:val="26"/>
                <w:lang w:val="en-US"/>
              </w:rPr>
              <w:t>Nội dung</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848" w:rsidRDefault="00E01848" w:rsidP="00E01848">
            <w:pPr>
              <w:jc w:val="center"/>
              <w:rPr>
                <w:rFonts w:eastAsia="Times New Roman"/>
                <w:b/>
                <w:bCs/>
                <w:color w:val="000000"/>
                <w:sz w:val="26"/>
                <w:szCs w:val="26"/>
                <w:lang w:val="en-US"/>
              </w:rPr>
            </w:pPr>
            <w:r w:rsidRPr="00E01848">
              <w:rPr>
                <w:rFonts w:eastAsia="Times New Roman"/>
                <w:b/>
                <w:bCs/>
                <w:color w:val="000000"/>
                <w:sz w:val="26"/>
                <w:szCs w:val="26"/>
                <w:lang w:val="en-US"/>
              </w:rPr>
              <w:t>Giai đoạn</w:t>
            </w:r>
          </w:p>
          <w:p w:rsidR="00E01848" w:rsidRPr="00E01848" w:rsidRDefault="00E01848" w:rsidP="00E01848">
            <w:pPr>
              <w:jc w:val="center"/>
              <w:rPr>
                <w:rFonts w:eastAsia="Times New Roman"/>
                <w:b/>
                <w:bCs/>
                <w:color w:val="000000"/>
                <w:sz w:val="26"/>
                <w:szCs w:val="26"/>
                <w:lang w:val="en-US"/>
              </w:rPr>
            </w:pPr>
            <w:r w:rsidRPr="00E01848">
              <w:rPr>
                <w:rFonts w:eastAsia="Times New Roman"/>
                <w:b/>
                <w:bCs/>
                <w:color w:val="000000"/>
                <w:sz w:val="26"/>
                <w:szCs w:val="26"/>
                <w:lang w:val="en-US"/>
              </w:rPr>
              <w:t>2021-2025</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E01848" w:rsidRPr="00E01848" w:rsidRDefault="00E01848" w:rsidP="00E01848">
            <w:pPr>
              <w:jc w:val="center"/>
              <w:rPr>
                <w:rFonts w:eastAsia="Times New Roman"/>
                <w:b/>
                <w:bCs/>
                <w:color w:val="000000"/>
                <w:sz w:val="26"/>
                <w:szCs w:val="26"/>
                <w:lang w:val="en-US"/>
              </w:rPr>
            </w:pPr>
            <w:r w:rsidRPr="00E01848">
              <w:rPr>
                <w:rFonts w:eastAsia="Times New Roman"/>
                <w:b/>
                <w:bCs/>
                <w:color w:val="000000"/>
                <w:sz w:val="26"/>
                <w:szCs w:val="26"/>
                <w:lang w:val="en-US"/>
              </w:rPr>
              <w:t>Trong đó</w:t>
            </w:r>
          </w:p>
        </w:tc>
      </w:tr>
      <w:tr w:rsidR="00E01848" w:rsidRPr="00E01848" w:rsidTr="00E01848">
        <w:tc>
          <w:tcPr>
            <w:tcW w:w="0" w:type="auto"/>
            <w:vMerge/>
            <w:tcBorders>
              <w:top w:val="single" w:sz="4" w:space="0" w:color="auto"/>
              <w:left w:val="single" w:sz="4" w:space="0" w:color="auto"/>
              <w:bottom w:val="single" w:sz="4" w:space="0" w:color="000000"/>
              <w:right w:val="single" w:sz="4" w:space="0" w:color="auto"/>
            </w:tcBorders>
            <w:vAlign w:val="center"/>
            <w:hideMark/>
          </w:tcPr>
          <w:p w:rsidR="00E01848" w:rsidRPr="00E01848" w:rsidRDefault="00E01848" w:rsidP="00E01848">
            <w:pPr>
              <w:rPr>
                <w:rFonts w:eastAsia="Times New Roman"/>
                <w:b/>
                <w:bCs/>
                <w:color w:val="000000"/>
                <w:sz w:val="26"/>
                <w:szCs w:val="26"/>
                <w:lang w:val="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01848" w:rsidRPr="00E01848" w:rsidRDefault="00E01848" w:rsidP="00E01848">
            <w:pPr>
              <w:rPr>
                <w:rFonts w:eastAsia="Times New Roman"/>
                <w:b/>
                <w:bCs/>
                <w:color w:val="000000"/>
                <w:sz w:val="26"/>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848" w:rsidRPr="00E01848" w:rsidRDefault="00E01848" w:rsidP="00E01848">
            <w:pPr>
              <w:rPr>
                <w:rFonts w:eastAsia="Times New Roman"/>
                <w:b/>
                <w:bCs/>
                <w:color w:val="000000"/>
                <w:sz w:val="26"/>
                <w:szCs w:val="26"/>
                <w:lang w:val="en-US"/>
              </w:rPr>
            </w:pPr>
          </w:p>
        </w:tc>
        <w:tc>
          <w:tcPr>
            <w:tcW w:w="0" w:type="auto"/>
            <w:tcBorders>
              <w:top w:val="nil"/>
              <w:left w:val="nil"/>
              <w:bottom w:val="single" w:sz="4" w:space="0" w:color="auto"/>
              <w:right w:val="single" w:sz="4" w:space="0" w:color="auto"/>
            </w:tcBorders>
            <w:shd w:val="clear" w:color="auto" w:fill="auto"/>
            <w:vAlign w:val="center"/>
            <w:hideMark/>
          </w:tcPr>
          <w:p w:rsidR="00E01848" w:rsidRDefault="00E01848" w:rsidP="00E01848">
            <w:pPr>
              <w:jc w:val="center"/>
              <w:rPr>
                <w:rFonts w:eastAsia="Times New Roman"/>
                <w:b/>
                <w:bCs/>
                <w:color w:val="000000"/>
                <w:sz w:val="26"/>
                <w:szCs w:val="26"/>
                <w:lang w:val="en-US"/>
              </w:rPr>
            </w:pPr>
            <w:r w:rsidRPr="00E01848">
              <w:rPr>
                <w:rFonts w:eastAsia="Times New Roman"/>
                <w:b/>
                <w:bCs/>
                <w:color w:val="000000"/>
                <w:sz w:val="26"/>
                <w:szCs w:val="26"/>
                <w:lang w:val="en-US"/>
              </w:rPr>
              <w:t>Nguồn ngân sách</w:t>
            </w:r>
          </w:p>
          <w:p w:rsidR="00E01848" w:rsidRPr="00E01848" w:rsidRDefault="00E01848" w:rsidP="00E01848">
            <w:pPr>
              <w:jc w:val="center"/>
              <w:rPr>
                <w:rFonts w:eastAsia="Times New Roman"/>
                <w:b/>
                <w:bCs/>
                <w:color w:val="000000"/>
                <w:sz w:val="26"/>
                <w:szCs w:val="26"/>
                <w:lang w:val="en-US"/>
              </w:rPr>
            </w:pPr>
            <w:r w:rsidRPr="00E01848">
              <w:rPr>
                <w:rFonts w:eastAsia="Times New Roman"/>
                <w:b/>
                <w:bCs/>
                <w:color w:val="000000"/>
                <w:sz w:val="26"/>
                <w:szCs w:val="26"/>
                <w:lang w:val="en-US"/>
              </w:rPr>
              <w:t>hỗ trợ thực hiện</w:t>
            </w:r>
          </w:p>
        </w:tc>
        <w:tc>
          <w:tcPr>
            <w:tcW w:w="0" w:type="auto"/>
            <w:tcBorders>
              <w:top w:val="nil"/>
              <w:left w:val="nil"/>
              <w:bottom w:val="single" w:sz="4" w:space="0" w:color="auto"/>
              <w:right w:val="single" w:sz="4" w:space="0" w:color="auto"/>
            </w:tcBorders>
            <w:shd w:val="clear" w:color="auto" w:fill="auto"/>
            <w:vAlign w:val="center"/>
            <w:hideMark/>
          </w:tcPr>
          <w:p w:rsidR="00E01848" w:rsidRDefault="00E01848" w:rsidP="00E01848">
            <w:pPr>
              <w:jc w:val="center"/>
              <w:rPr>
                <w:rFonts w:eastAsia="Times New Roman"/>
                <w:b/>
                <w:bCs/>
                <w:color w:val="000000"/>
                <w:sz w:val="26"/>
                <w:szCs w:val="26"/>
                <w:lang w:val="en-US"/>
              </w:rPr>
            </w:pPr>
            <w:r w:rsidRPr="00E01848">
              <w:rPr>
                <w:rFonts w:eastAsia="Times New Roman"/>
                <w:b/>
                <w:bCs/>
                <w:color w:val="000000"/>
                <w:sz w:val="26"/>
                <w:szCs w:val="26"/>
                <w:lang w:val="en-US"/>
              </w:rPr>
              <w:t xml:space="preserve">Kinh phí </w:t>
            </w:r>
          </w:p>
          <w:p w:rsidR="00E01848" w:rsidRDefault="00E01848" w:rsidP="00E01848">
            <w:pPr>
              <w:jc w:val="center"/>
              <w:rPr>
                <w:rFonts w:eastAsia="Times New Roman"/>
                <w:b/>
                <w:bCs/>
                <w:color w:val="000000"/>
                <w:sz w:val="26"/>
                <w:szCs w:val="26"/>
                <w:lang w:val="en-US"/>
              </w:rPr>
            </w:pPr>
            <w:r w:rsidRPr="00E01848">
              <w:rPr>
                <w:rFonts w:eastAsia="Times New Roman"/>
                <w:b/>
                <w:bCs/>
                <w:color w:val="000000"/>
                <w:sz w:val="26"/>
                <w:szCs w:val="26"/>
                <w:lang w:val="en-US"/>
              </w:rPr>
              <w:t>đối ứng</w:t>
            </w:r>
          </w:p>
          <w:p w:rsidR="00E01848" w:rsidRPr="00E01848" w:rsidRDefault="00E01848" w:rsidP="00E01848">
            <w:pPr>
              <w:jc w:val="center"/>
              <w:rPr>
                <w:rFonts w:eastAsia="Times New Roman"/>
                <w:b/>
                <w:bCs/>
                <w:color w:val="000000"/>
                <w:sz w:val="26"/>
                <w:szCs w:val="26"/>
                <w:lang w:val="en-US"/>
              </w:rPr>
            </w:pPr>
            <w:r w:rsidRPr="00E01848">
              <w:rPr>
                <w:rFonts w:eastAsia="Times New Roman"/>
                <w:b/>
                <w:bCs/>
                <w:color w:val="000000"/>
                <w:sz w:val="26"/>
                <w:szCs w:val="26"/>
                <w:lang w:val="en-US"/>
              </w:rPr>
              <w:t>của đơn vị thụ hưởng</w:t>
            </w:r>
          </w:p>
        </w:tc>
      </w:tr>
      <w:tr w:rsidR="00E01848" w:rsidRPr="00E01848" w:rsidTr="00E018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48" w:rsidRPr="00E01848" w:rsidRDefault="00E01848" w:rsidP="00E01848">
            <w:pPr>
              <w:jc w:val="center"/>
              <w:rPr>
                <w:rFonts w:eastAsia="Times New Roman"/>
                <w:color w:val="000000"/>
                <w:sz w:val="26"/>
                <w:szCs w:val="26"/>
                <w:lang w:val="en-US"/>
              </w:rPr>
            </w:pPr>
            <w:r w:rsidRPr="00E01848">
              <w:rPr>
                <w:rFonts w:eastAsia="Times New Roman"/>
                <w:color w:val="000000"/>
                <w:sz w:val="26"/>
                <w:szCs w:val="2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E01848" w:rsidRPr="00E01848" w:rsidRDefault="00E01848" w:rsidP="00E01848">
            <w:pPr>
              <w:rPr>
                <w:rFonts w:eastAsia="Times New Roman"/>
                <w:color w:val="000000"/>
                <w:sz w:val="26"/>
                <w:szCs w:val="26"/>
                <w:lang w:val="en-US"/>
              </w:rPr>
            </w:pPr>
            <w:r w:rsidRPr="00E01848">
              <w:rPr>
                <w:rFonts w:eastAsia="Times New Roman"/>
                <w:color w:val="000000"/>
                <w:sz w:val="26"/>
                <w:szCs w:val="26"/>
                <w:lang w:val="en-US"/>
              </w:rPr>
              <w:t>Đào tạo nghề, truyền nghề</w:t>
            </w:r>
          </w:p>
        </w:tc>
        <w:tc>
          <w:tcPr>
            <w:tcW w:w="0" w:type="auto"/>
            <w:tcBorders>
              <w:top w:val="nil"/>
              <w:left w:val="nil"/>
              <w:bottom w:val="single" w:sz="4" w:space="0" w:color="auto"/>
              <w:right w:val="single" w:sz="4" w:space="0" w:color="auto"/>
            </w:tcBorders>
            <w:shd w:val="clear" w:color="auto" w:fill="auto"/>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1.040 </w:t>
            </w:r>
          </w:p>
        </w:tc>
        <w:tc>
          <w:tcPr>
            <w:tcW w:w="0" w:type="auto"/>
            <w:tcBorders>
              <w:top w:val="nil"/>
              <w:left w:val="nil"/>
              <w:bottom w:val="single" w:sz="4" w:space="0" w:color="auto"/>
              <w:right w:val="single" w:sz="4" w:space="0" w:color="auto"/>
            </w:tcBorders>
            <w:shd w:val="clear" w:color="auto" w:fill="auto"/>
            <w:noWrap/>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1.040 </w:t>
            </w:r>
          </w:p>
        </w:tc>
        <w:tc>
          <w:tcPr>
            <w:tcW w:w="0" w:type="auto"/>
            <w:tcBorders>
              <w:top w:val="nil"/>
              <w:left w:val="nil"/>
              <w:bottom w:val="single" w:sz="4" w:space="0" w:color="auto"/>
              <w:right w:val="single" w:sz="4" w:space="0" w:color="auto"/>
            </w:tcBorders>
            <w:shd w:val="clear" w:color="auto" w:fill="auto"/>
            <w:noWrap/>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   </w:t>
            </w:r>
          </w:p>
        </w:tc>
      </w:tr>
      <w:tr w:rsidR="00E01848" w:rsidRPr="00E01848" w:rsidTr="00E018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48" w:rsidRPr="00E01848" w:rsidRDefault="00E01848" w:rsidP="00E01848">
            <w:pPr>
              <w:jc w:val="center"/>
              <w:rPr>
                <w:rFonts w:eastAsia="Times New Roman"/>
                <w:color w:val="000000"/>
                <w:sz w:val="26"/>
                <w:szCs w:val="26"/>
                <w:lang w:val="en-US"/>
              </w:rPr>
            </w:pPr>
            <w:r w:rsidRPr="00E01848">
              <w:rPr>
                <w:rFonts w:eastAsia="Times New Roman"/>
                <w:color w:val="000000"/>
                <w:sz w:val="26"/>
                <w:szCs w:val="26"/>
                <w:lang w:val="en-US"/>
              </w:rPr>
              <w:t>2</w:t>
            </w:r>
          </w:p>
        </w:tc>
        <w:tc>
          <w:tcPr>
            <w:tcW w:w="0" w:type="auto"/>
            <w:tcBorders>
              <w:top w:val="nil"/>
              <w:left w:val="nil"/>
              <w:bottom w:val="single" w:sz="4" w:space="0" w:color="auto"/>
              <w:right w:val="single" w:sz="4" w:space="0" w:color="auto"/>
            </w:tcBorders>
            <w:shd w:val="clear" w:color="auto" w:fill="auto"/>
            <w:vAlign w:val="center"/>
            <w:hideMark/>
          </w:tcPr>
          <w:p w:rsidR="00E01848" w:rsidRPr="00E01848" w:rsidRDefault="00E01848" w:rsidP="00E01848">
            <w:pPr>
              <w:rPr>
                <w:rFonts w:eastAsia="Times New Roman"/>
                <w:color w:val="000000"/>
                <w:sz w:val="26"/>
                <w:szCs w:val="26"/>
                <w:lang w:val="en-US"/>
              </w:rPr>
            </w:pPr>
            <w:r w:rsidRPr="00E01848">
              <w:rPr>
                <w:rFonts w:eastAsia="Times New Roman"/>
                <w:color w:val="000000"/>
                <w:sz w:val="26"/>
                <w:szCs w:val="26"/>
                <w:lang w:val="en-US"/>
              </w:rPr>
              <w:t>Nâng cao năng lực quản lý, thành lập và khởi sự doanh nghiệp</w:t>
            </w:r>
          </w:p>
        </w:tc>
        <w:tc>
          <w:tcPr>
            <w:tcW w:w="0" w:type="auto"/>
            <w:tcBorders>
              <w:top w:val="nil"/>
              <w:left w:val="nil"/>
              <w:bottom w:val="single" w:sz="4" w:space="0" w:color="auto"/>
              <w:right w:val="single" w:sz="4" w:space="0" w:color="auto"/>
            </w:tcBorders>
            <w:shd w:val="clear" w:color="auto" w:fill="auto"/>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1.000 </w:t>
            </w:r>
          </w:p>
        </w:tc>
        <w:tc>
          <w:tcPr>
            <w:tcW w:w="0" w:type="auto"/>
            <w:tcBorders>
              <w:top w:val="nil"/>
              <w:left w:val="nil"/>
              <w:bottom w:val="single" w:sz="4" w:space="0" w:color="auto"/>
              <w:right w:val="single" w:sz="4" w:space="0" w:color="auto"/>
            </w:tcBorders>
            <w:shd w:val="clear" w:color="auto" w:fill="auto"/>
            <w:noWrap/>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1.000 </w:t>
            </w:r>
          </w:p>
        </w:tc>
        <w:tc>
          <w:tcPr>
            <w:tcW w:w="0" w:type="auto"/>
            <w:tcBorders>
              <w:top w:val="nil"/>
              <w:left w:val="nil"/>
              <w:bottom w:val="single" w:sz="4" w:space="0" w:color="auto"/>
              <w:right w:val="single" w:sz="4" w:space="0" w:color="auto"/>
            </w:tcBorders>
            <w:shd w:val="clear" w:color="auto" w:fill="auto"/>
            <w:noWrap/>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   </w:t>
            </w:r>
          </w:p>
        </w:tc>
      </w:tr>
      <w:tr w:rsidR="00E01848" w:rsidRPr="00E01848" w:rsidTr="00E018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48" w:rsidRPr="00E01848" w:rsidRDefault="00E01848" w:rsidP="00E01848">
            <w:pPr>
              <w:jc w:val="center"/>
              <w:rPr>
                <w:rFonts w:eastAsia="Times New Roman"/>
                <w:color w:val="000000"/>
                <w:sz w:val="26"/>
                <w:szCs w:val="26"/>
                <w:lang w:val="en-US"/>
              </w:rPr>
            </w:pPr>
            <w:r w:rsidRPr="00E01848">
              <w:rPr>
                <w:rFonts w:eastAsia="Times New Roman"/>
                <w:color w:val="000000"/>
                <w:sz w:val="26"/>
                <w:szCs w:val="26"/>
                <w:lang w:val="en-US"/>
              </w:rPr>
              <w:t>3</w:t>
            </w:r>
          </w:p>
        </w:tc>
        <w:tc>
          <w:tcPr>
            <w:tcW w:w="0" w:type="auto"/>
            <w:tcBorders>
              <w:top w:val="nil"/>
              <w:left w:val="nil"/>
              <w:bottom w:val="single" w:sz="4" w:space="0" w:color="auto"/>
              <w:right w:val="single" w:sz="4" w:space="0" w:color="auto"/>
            </w:tcBorders>
            <w:shd w:val="clear" w:color="auto" w:fill="auto"/>
            <w:vAlign w:val="center"/>
            <w:hideMark/>
          </w:tcPr>
          <w:p w:rsidR="00E01848" w:rsidRPr="00E01848" w:rsidRDefault="00E01848" w:rsidP="00E01848">
            <w:pPr>
              <w:rPr>
                <w:rFonts w:eastAsia="Times New Roman"/>
                <w:color w:val="000000"/>
                <w:sz w:val="26"/>
                <w:szCs w:val="26"/>
                <w:lang w:val="en-US"/>
              </w:rPr>
            </w:pPr>
            <w:r w:rsidRPr="00E01848">
              <w:rPr>
                <w:rFonts w:eastAsia="Times New Roman"/>
                <w:color w:val="000000"/>
                <w:sz w:val="26"/>
                <w:szCs w:val="26"/>
                <w:lang w:val="en-US"/>
              </w:rPr>
              <w:t>Hỗ trợ xây dựng mô hình trình diễn kỹ thuật, chuyển giao công nghệ, ứng dụng máy móc thiết bị tiên tiến, dây chuyền công nghệ vào sản xuất và xử lý ô nhiễm môi trường</w:t>
            </w:r>
          </w:p>
        </w:tc>
        <w:tc>
          <w:tcPr>
            <w:tcW w:w="0" w:type="auto"/>
            <w:tcBorders>
              <w:top w:val="nil"/>
              <w:left w:val="nil"/>
              <w:bottom w:val="single" w:sz="4" w:space="0" w:color="auto"/>
              <w:right w:val="single" w:sz="4" w:space="0" w:color="auto"/>
            </w:tcBorders>
            <w:shd w:val="clear" w:color="auto" w:fill="auto"/>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44.400 </w:t>
            </w:r>
          </w:p>
        </w:tc>
        <w:tc>
          <w:tcPr>
            <w:tcW w:w="0" w:type="auto"/>
            <w:tcBorders>
              <w:top w:val="nil"/>
              <w:left w:val="nil"/>
              <w:bottom w:val="single" w:sz="4" w:space="0" w:color="auto"/>
              <w:right w:val="single" w:sz="4" w:space="0" w:color="auto"/>
            </w:tcBorders>
            <w:shd w:val="clear" w:color="auto" w:fill="auto"/>
            <w:noWrap/>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15.600 </w:t>
            </w:r>
          </w:p>
        </w:tc>
        <w:tc>
          <w:tcPr>
            <w:tcW w:w="0" w:type="auto"/>
            <w:tcBorders>
              <w:top w:val="nil"/>
              <w:left w:val="nil"/>
              <w:bottom w:val="single" w:sz="4" w:space="0" w:color="auto"/>
              <w:right w:val="single" w:sz="4" w:space="0" w:color="auto"/>
            </w:tcBorders>
            <w:shd w:val="clear" w:color="auto" w:fill="auto"/>
            <w:noWrap/>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28.800 </w:t>
            </w:r>
          </w:p>
        </w:tc>
      </w:tr>
      <w:tr w:rsidR="00E01848" w:rsidRPr="00E01848" w:rsidTr="00E018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48" w:rsidRPr="00E01848" w:rsidRDefault="00E01848" w:rsidP="00E01848">
            <w:pPr>
              <w:jc w:val="center"/>
              <w:rPr>
                <w:rFonts w:eastAsia="Times New Roman"/>
                <w:color w:val="000000"/>
                <w:sz w:val="26"/>
                <w:szCs w:val="26"/>
                <w:lang w:val="en-US"/>
              </w:rPr>
            </w:pPr>
            <w:r w:rsidRPr="00E01848">
              <w:rPr>
                <w:rFonts w:eastAsia="Times New Roman"/>
                <w:color w:val="000000"/>
                <w:sz w:val="26"/>
                <w:szCs w:val="26"/>
                <w:lang w:val="en-US"/>
              </w:rPr>
              <w:t>4</w:t>
            </w:r>
          </w:p>
        </w:tc>
        <w:tc>
          <w:tcPr>
            <w:tcW w:w="0" w:type="auto"/>
            <w:tcBorders>
              <w:top w:val="nil"/>
              <w:left w:val="nil"/>
              <w:bottom w:val="single" w:sz="4" w:space="0" w:color="auto"/>
              <w:right w:val="single" w:sz="4" w:space="0" w:color="auto"/>
            </w:tcBorders>
            <w:shd w:val="clear" w:color="auto" w:fill="auto"/>
            <w:vAlign w:val="center"/>
            <w:hideMark/>
          </w:tcPr>
          <w:p w:rsidR="00E01848" w:rsidRPr="00E01848" w:rsidRDefault="00E01848" w:rsidP="00E01848">
            <w:pPr>
              <w:rPr>
                <w:rFonts w:eastAsia="Times New Roman"/>
                <w:color w:val="000000"/>
                <w:sz w:val="26"/>
                <w:szCs w:val="26"/>
                <w:lang w:val="en-US"/>
              </w:rPr>
            </w:pPr>
            <w:r w:rsidRPr="00E01848">
              <w:rPr>
                <w:rFonts w:eastAsia="Times New Roman"/>
                <w:color w:val="000000"/>
                <w:sz w:val="26"/>
                <w:szCs w:val="26"/>
                <w:lang w:val="en-US"/>
              </w:rPr>
              <w:t>Phát triển sản phẩm công nghiệp nông thôn tiêu biểu</w:t>
            </w:r>
          </w:p>
        </w:tc>
        <w:tc>
          <w:tcPr>
            <w:tcW w:w="0" w:type="auto"/>
            <w:tcBorders>
              <w:top w:val="nil"/>
              <w:left w:val="nil"/>
              <w:bottom w:val="single" w:sz="4" w:space="0" w:color="auto"/>
              <w:right w:val="single" w:sz="4" w:space="0" w:color="auto"/>
            </w:tcBorders>
            <w:shd w:val="clear" w:color="auto" w:fill="auto"/>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3.140 </w:t>
            </w:r>
          </w:p>
        </w:tc>
        <w:tc>
          <w:tcPr>
            <w:tcW w:w="0" w:type="auto"/>
            <w:tcBorders>
              <w:top w:val="nil"/>
              <w:left w:val="nil"/>
              <w:bottom w:val="single" w:sz="4" w:space="0" w:color="auto"/>
              <w:right w:val="single" w:sz="4" w:space="0" w:color="auto"/>
            </w:tcBorders>
            <w:shd w:val="clear" w:color="auto" w:fill="auto"/>
            <w:noWrap/>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2.685 </w:t>
            </w:r>
          </w:p>
        </w:tc>
        <w:tc>
          <w:tcPr>
            <w:tcW w:w="0" w:type="auto"/>
            <w:tcBorders>
              <w:top w:val="nil"/>
              <w:left w:val="nil"/>
              <w:bottom w:val="single" w:sz="4" w:space="0" w:color="auto"/>
              <w:right w:val="single" w:sz="4" w:space="0" w:color="auto"/>
            </w:tcBorders>
            <w:shd w:val="clear" w:color="auto" w:fill="auto"/>
            <w:noWrap/>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455 </w:t>
            </w:r>
          </w:p>
        </w:tc>
      </w:tr>
      <w:tr w:rsidR="00E01848" w:rsidRPr="00E01848" w:rsidTr="00E018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48" w:rsidRPr="00E01848" w:rsidRDefault="00E01848" w:rsidP="00E01848">
            <w:pPr>
              <w:jc w:val="center"/>
              <w:rPr>
                <w:rFonts w:eastAsia="Times New Roman"/>
                <w:color w:val="000000"/>
                <w:sz w:val="26"/>
                <w:szCs w:val="26"/>
                <w:lang w:val="en-US"/>
              </w:rPr>
            </w:pPr>
            <w:r w:rsidRPr="00E01848">
              <w:rPr>
                <w:rFonts w:eastAsia="Times New Roman"/>
                <w:color w:val="000000"/>
                <w:sz w:val="26"/>
                <w:szCs w:val="26"/>
                <w:lang w:val="en-US"/>
              </w:rPr>
              <w:t>5</w:t>
            </w:r>
          </w:p>
        </w:tc>
        <w:tc>
          <w:tcPr>
            <w:tcW w:w="0" w:type="auto"/>
            <w:tcBorders>
              <w:top w:val="nil"/>
              <w:left w:val="nil"/>
              <w:bottom w:val="single" w:sz="4" w:space="0" w:color="auto"/>
              <w:right w:val="single" w:sz="4" w:space="0" w:color="auto"/>
            </w:tcBorders>
            <w:shd w:val="clear" w:color="auto" w:fill="auto"/>
            <w:vAlign w:val="center"/>
            <w:hideMark/>
          </w:tcPr>
          <w:p w:rsidR="00E01848" w:rsidRPr="00E01848" w:rsidRDefault="00E01848" w:rsidP="00E01848">
            <w:pPr>
              <w:rPr>
                <w:rFonts w:eastAsia="Times New Roman"/>
                <w:color w:val="000000"/>
                <w:sz w:val="26"/>
                <w:szCs w:val="26"/>
                <w:lang w:val="en-US"/>
              </w:rPr>
            </w:pPr>
            <w:r w:rsidRPr="00E01848">
              <w:rPr>
                <w:rFonts w:eastAsia="Times New Roman"/>
                <w:color w:val="000000"/>
                <w:sz w:val="26"/>
                <w:szCs w:val="26"/>
                <w:lang w:val="en-US"/>
              </w:rPr>
              <w:t>Hỗ trợ tư vấn, cung cấp thông tin</w:t>
            </w:r>
          </w:p>
        </w:tc>
        <w:tc>
          <w:tcPr>
            <w:tcW w:w="0" w:type="auto"/>
            <w:tcBorders>
              <w:top w:val="nil"/>
              <w:left w:val="nil"/>
              <w:bottom w:val="single" w:sz="4" w:space="0" w:color="auto"/>
              <w:right w:val="single" w:sz="4" w:space="0" w:color="auto"/>
            </w:tcBorders>
            <w:shd w:val="clear" w:color="auto" w:fill="auto"/>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585 </w:t>
            </w:r>
          </w:p>
        </w:tc>
        <w:tc>
          <w:tcPr>
            <w:tcW w:w="0" w:type="auto"/>
            <w:tcBorders>
              <w:top w:val="nil"/>
              <w:left w:val="nil"/>
              <w:bottom w:val="single" w:sz="4" w:space="0" w:color="auto"/>
              <w:right w:val="single" w:sz="4" w:space="0" w:color="auto"/>
            </w:tcBorders>
            <w:shd w:val="clear" w:color="auto" w:fill="auto"/>
            <w:noWrap/>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585 </w:t>
            </w:r>
          </w:p>
        </w:tc>
        <w:tc>
          <w:tcPr>
            <w:tcW w:w="0" w:type="auto"/>
            <w:tcBorders>
              <w:top w:val="nil"/>
              <w:left w:val="nil"/>
              <w:bottom w:val="single" w:sz="4" w:space="0" w:color="auto"/>
              <w:right w:val="single" w:sz="4" w:space="0" w:color="auto"/>
            </w:tcBorders>
            <w:shd w:val="clear" w:color="auto" w:fill="auto"/>
            <w:noWrap/>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   </w:t>
            </w:r>
          </w:p>
        </w:tc>
      </w:tr>
      <w:tr w:rsidR="00E01848" w:rsidRPr="00E01848" w:rsidTr="00E018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48" w:rsidRPr="00E01848" w:rsidRDefault="00E01848" w:rsidP="00E01848">
            <w:pPr>
              <w:jc w:val="center"/>
              <w:rPr>
                <w:rFonts w:eastAsia="Times New Roman"/>
                <w:color w:val="000000"/>
                <w:sz w:val="26"/>
                <w:szCs w:val="26"/>
                <w:lang w:val="en-US"/>
              </w:rPr>
            </w:pPr>
            <w:r w:rsidRPr="00E01848">
              <w:rPr>
                <w:rFonts w:eastAsia="Times New Roman"/>
                <w:color w:val="000000"/>
                <w:sz w:val="26"/>
                <w:szCs w:val="26"/>
                <w:lang w:val="en-US"/>
              </w:rPr>
              <w:t>6</w:t>
            </w:r>
          </w:p>
        </w:tc>
        <w:tc>
          <w:tcPr>
            <w:tcW w:w="0" w:type="auto"/>
            <w:tcBorders>
              <w:top w:val="nil"/>
              <w:left w:val="nil"/>
              <w:bottom w:val="single" w:sz="4" w:space="0" w:color="auto"/>
              <w:right w:val="single" w:sz="4" w:space="0" w:color="auto"/>
            </w:tcBorders>
            <w:shd w:val="clear" w:color="auto" w:fill="auto"/>
            <w:vAlign w:val="center"/>
            <w:hideMark/>
          </w:tcPr>
          <w:p w:rsidR="00E01848" w:rsidRPr="00E01848" w:rsidRDefault="00E01848" w:rsidP="00E01848">
            <w:pPr>
              <w:rPr>
                <w:rFonts w:eastAsia="Times New Roman"/>
                <w:color w:val="000000"/>
                <w:sz w:val="26"/>
                <w:szCs w:val="26"/>
                <w:lang w:val="en-US"/>
              </w:rPr>
            </w:pPr>
            <w:r w:rsidRPr="00E01848">
              <w:rPr>
                <w:rFonts w:eastAsia="Times New Roman"/>
                <w:color w:val="000000"/>
                <w:sz w:val="26"/>
                <w:szCs w:val="26"/>
                <w:lang w:val="en-US"/>
              </w:rPr>
              <w:t>Hỗ trợ liên doanh, liên kết, hợp tác đầu tư kinh tế, phát triển cụm, điểm công nghiệp và di dời cơ sở gây ô nhiễm môi trường</w:t>
            </w:r>
          </w:p>
        </w:tc>
        <w:tc>
          <w:tcPr>
            <w:tcW w:w="0" w:type="auto"/>
            <w:tcBorders>
              <w:top w:val="nil"/>
              <w:left w:val="nil"/>
              <w:bottom w:val="single" w:sz="4" w:space="0" w:color="auto"/>
              <w:right w:val="single" w:sz="4" w:space="0" w:color="auto"/>
            </w:tcBorders>
            <w:shd w:val="clear" w:color="auto" w:fill="auto"/>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11.150 </w:t>
            </w:r>
          </w:p>
        </w:tc>
        <w:tc>
          <w:tcPr>
            <w:tcW w:w="0" w:type="auto"/>
            <w:tcBorders>
              <w:top w:val="nil"/>
              <w:left w:val="nil"/>
              <w:bottom w:val="single" w:sz="4" w:space="0" w:color="auto"/>
              <w:right w:val="single" w:sz="4" w:space="0" w:color="auto"/>
            </w:tcBorders>
            <w:shd w:val="clear" w:color="auto" w:fill="auto"/>
            <w:noWrap/>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4.750 </w:t>
            </w:r>
          </w:p>
        </w:tc>
        <w:tc>
          <w:tcPr>
            <w:tcW w:w="0" w:type="auto"/>
            <w:tcBorders>
              <w:top w:val="nil"/>
              <w:left w:val="nil"/>
              <w:bottom w:val="single" w:sz="4" w:space="0" w:color="auto"/>
              <w:right w:val="single" w:sz="4" w:space="0" w:color="auto"/>
            </w:tcBorders>
            <w:shd w:val="clear" w:color="auto" w:fill="auto"/>
            <w:noWrap/>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6.400 </w:t>
            </w:r>
          </w:p>
        </w:tc>
      </w:tr>
      <w:tr w:rsidR="00E01848" w:rsidRPr="00E01848" w:rsidTr="00E018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48" w:rsidRPr="00E01848" w:rsidRDefault="00E01848" w:rsidP="00E01848">
            <w:pPr>
              <w:jc w:val="center"/>
              <w:rPr>
                <w:rFonts w:eastAsia="Times New Roman"/>
                <w:color w:val="000000"/>
                <w:sz w:val="26"/>
                <w:szCs w:val="26"/>
                <w:lang w:val="en-US"/>
              </w:rPr>
            </w:pPr>
            <w:r w:rsidRPr="00E01848">
              <w:rPr>
                <w:rFonts w:eastAsia="Times New Roman"/>
                <w:color w:val="000000"/>
                <w:sz w:val="26"/>
                <w:szCs w:val="26"/>
                <w:lang w:val="en-US"/>
              </w:rPr>
              <w:t>7</w:t>
            </w:r>
          </w:p>
        </w:tc>
        <w:tc>
          <w:tcPr>
            <w:tcW w:w="0" w:type="auto"/>
            <w:tcBorders>
              <w:top w:val="nil"/>
              <w:left w:val="nil"/>
              <w:bottom w:val="single" w:sz="4" w:space="0" w:color="auto"/>
              <w:right w:val="single" w:sz="4" w:space="0" w:color="auto"/>
            </w:tcBorders>
            <w:shd w:val="clear" w:color="auto" w:fill="auto"/>
            <w:vAlign w:val="center"/>
            <w:hideMark/>
          </w:tcPr>
          <w:p w:rsidR="00E01848" w:rsidRPr="00E01848" w:rsidRDefault="00E01848" w:rsidP="00E01848">
            <w:pPr>
              <w:rPr>
                <w:rFonts w:eastAsia="Times New Roman"/>
                <w:color w:val="000000"/>
                <w:sz w:val="26"/>
                <w:szCs w:val="26"/>
                <w:lang w:val="en-US"/>
              </w:rPr>
            </w:pPr>
            <w:r w:rsidRPr="00E01848">
              <w:rPr>
                <w:rFonts w:eastAsia="Times New Roman"/>
                <w:color w:val="000000"/>
                <w:sz w:val="26"/>
                <w:szCs w:val="26"/>
                <w:lang w:val="en-US"/>
              </w:rPr>
              <w:t>Nâng cao năng lực quản lý, thành lập và năng lực tổ chức thực hiện các hoạt động khuyến công</w:t>
            </w:r>
          </w:p>
        </w:tc>
        <w:tc>
          <w:tcPr>
            <w:tcW w:w="0" w:type="auto"/>
            <w:tcBorders>
              <w:top w:val="nil"/>
              <w:left w:val="nil"/>
              <w:bottom w:val="single" w:sz="4" w:space="0" w:color="auto"/>
              <w:right w:val="single" w:sz="4" w:space="0" w:color="auto"/>
            </w:tcBorders>
            <w:shd w:val="clear" w:color="auto" w:fill="auto"/>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1.450 </w:t>
            </w:r>
          </w:p>
        </w:tc>
        <w:tc>
          <w:tcPr>
            <w:tcW w:w="0" w:type="auto"/>
            <w:tcBorders>
              <w:top w:val="nil"/>
              <w:left w:val="nil"/>
              <w:bottom w:val="single" w:sz="4" w:space="0" w:color="auto"/>
              <w:right w:val="single" w:sz="4" w:space="0" w:color="auto"/>
            </w:tcBorders>
            <w:shd w:val="clear" w:color="auto" w:fill="auto"/>
            <w:noWrap/>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1.450 </w:t>
            </w:r>
          </w:p>
        </w:tc>
        <w:tc>
          <w:tcPr>
            <w:tcW w:w="0" w:type="auto"/>
            <w:tcBorders>
              <w:top w:val="nil"/>
              <w:left w:val="nil"/>
              <w:bottom w:val="single" w:sz="4" w:space="0" w:color="auto"/>
              <w:right w:val="single" w:sz="4" w:space="0" w:color="auto"/>
            </w:tcBorders>
            <w:shd w:val="clear" w:color="auto" w:fill="auto"/>
            <w:noWrap/>
            <w:vAlign w:val="center"/>
            <w:hideMark/>
          </w:tcPr>
          <w:p w:rsidR="00E01848" w:rsidRPr="00E01848" w:rsidRDefault="00E01848" w:rsidP="00E01848">
            <w:pPr>
              <w:jc w:val="right"/>
              <w:rPr>
                <w:rFonts w:eastAsia="Times New Roman"/>
                <w:color w:val="000000"/>
                <w:sz w:val="26"/>
                <w:szCs w:val="26"/>
                <w:lang w:val="en-US"/>
              </w:rPr>
            </w:pPr>
            <w:r w:rsidRPr="00E01848">
              <w:rPr>
                <w:rFonts w:eastAsia="Times New Roman"/>
                <w:color w:val="000000"/>
                <w:sz w:val="26"/>
                <w:szCs w:val="26"/>
                <w:lang w:val="en-US"/>
              </w:rPr>
              <w:t xml:space="preserve">-   </w:t>
            </w:r>
          </w:p>
        </w:tc>
      </w:tr>
      <w:tr w:rsidR="00E01848" w:rsidRPr="00E01848" w:rsidTr="00E01848">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1848" w:rsidRPr="00E01848" w:rsidRDefault="00E01848" w:rsidP="00E01848">
            <w:pPr>
              <w:jc w:val="center"/>
              <w:rPr>
                <w:rFonts w:eastAsia="Times New Roman"/>
                <w:b/>
                <w:bCs/>
                <w:color w:val="000000"/>
                <w:sz w:val="26"/>
                <w:szCs w:val="26"/>
                <w:lang w:val="en-US"/>
              </w:rPr>
            </w:pPr>
            <w:r w:rsidRPr="00E01848">
              <w:rPr>
                <w:rFonts w:eastAsia="Times New Roman"/>
                <w:b/>
                <w:bCs/>
                <w:color w:val="000000"/>
                <w:sz w:val="26"/>
                <w:szCs w:val="26"/>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rsidR="00E01848" w:rsidRPr="00E01848" w:rsidRDefault="00E01848" w:rsidP="00E01848">
            <w:pPr>
              <w:rPr>
                <w:rFonts w:eastAsia="Times New Roman"/>
                <w:b/>
                <w:bCs/>
                <w:color w:val="000000"/>
                <w:sz w:val="26"/>
                <w:szCs w:val="26"/>
                <w:lang w:val="en-US"/>
              </w:rPr>
            </w:pPr>
            <w:r w:rsidRPr="00E01848">
              <w:rPr>
                <w:rFonts w:eastAsia="Times New Roman"/>
                <w:b/>
                <w:bCs/>
                <w:color w:val="000000"/>
                <w:sz w:val="26"/>
                <w:szCs w:val="26"/>
                <w:lang w:val="en-US"/>
              </w:rPr>
              <w:t>Tổng cộng</w:t>
            </w:r>
          </w:p>
        </w:tc>
        <w:tc>
          <w:tcPr>
            <w:tcW w:w="0" w:type="auto"/>
            <w:tcBorders>
              <w:top w:val="nil"/>
              <w:left w:val="nil"/>
              <w:bottom w:val="single" w:sz="4" w:space="0" w:color="auto"/>
              <w:right w:val="single" w:sz="4" w:space="0" w:color="auto"/>
            </w:tcBorders>
            <w:shd w:val="clear" w:color="auto" w:fill="auto"/>
            <w:vAlign w:val="center"/>
            <w:hideMark/>
          </w:tcPr>
          <w:p w:rsidR="00E01848" w:rsidRPr="00E01848" w:rsidRDefault="00E01848" w:rsidP="00E01848">
            <w:pPr>
              <w:jc w:val="right"/>
              <w:rPr>
                <w:rFonts w:eastAsia="Times New Roman"/>
                <w:b/>
                <w:bCs/>
                <w:color w:val="000000"/>
                <w:sz w:val="26"/>
                <w:szCs w:val="26"/>
                <w:lang w:val="en-US"/>
              </w:rPr>
            </w:pPr>
            <w:r w:rsidRPr="00E01848">
              <w:rPr>
                <w:rFonts w:eastAsia="Times New Roman"/>
                <w:b/>
                <w:bCs/>
                <w:color w:val="000000"/>
                <w:sz w:val="26"/>
                <w:szCs w:val="26"/>
                <w:lang w:val="en-US"/>
              </w:rPr>
              <w:t xml:space="preserve">62.765 </w:t>
            </w:r>
          </w:p>
        </w:tc>
        <w:tc>
          <w:tcPr>
            <w:tcW w:w="0" w:type="auto"/>
            <w:tcBorders>
              <w:top w:val="nil"/>
              <w:left w:val="nil"/>
              <w:bottom w:val="single" w:sz="4" w:space="0" w:color="auto"/>
              <w:right w:val="single" w:sz="4" w:space="0" w:color="auto"/>
            </w:tcBorders>
            <w:shd w:val="clear" w:color="auto" w:fill="auto"/>
            <w:vAlign w:val="center"/>
            <w:hideMark/>
          </w:tcPr>
          <w:p w:rsidR="00E01848" w:rsidRPr="00E01848" w:rsidRDefault="00E01848" w:rsidP="00E01848">
            <w:pPr>
              <w:jc w:val="right"/>
              <w:rPr>
                <w:rFonts w:eastAsia="Times New Roman"/>
                <w:b/>
                <w:bCs/>
                <w:color w:val="000000"/>
                <w:sz w:val="26"/>
                <w:szCs w:val="26"/>
                <w:lang w:val="en-US"/>
              </w:rPr>
            </w:pPr>
            <w:r w:rsidRPr="00E01848">
              <w:rPr>
                <w:rFonts w:eastAsia="Times New Roman"/>
                <w:b/>
                <w:bCs/>
                <w:color w:val="000000"/>
                <w:sz w:val="26"/>
                <w:szCs w:val="26"/>
                <w:lang w:val="en-US"/>
              </w:rPr>
              <w:t xml:space="preserve">27.110 </w:t>
            </w:r>
          </w:p>
        </w:tc>
        <w:tc>
          <w:tcPr>
            <w:tcW w:w="0" w:type="auto"/>
            <w:tcBorders>
              <w:top w:val="nil"/>
              <w:left w:val="nil"/>
              <w:bottom w:val="single" w:sz="4" w:space="0" w:color="auto"/>
              <w:right w:val="single" w:sz="4" w:space="0" w:color="auto"/>
            </w:tcBorders>
            <w:shd w:val="clear" w:color="auto" w:fill="auto"/>
            <w:vAlign w:val="center"/>
            <w:hideMark/>
          </w:tcPr>
          <w:p w:rsidR="00E01848" w:rsidRPr="00E01848" w:rsidRDefault="00E01848" w:rsidP="00E01848">
            <w:pPr>
              <w:jc w:val="right"/>
              <w:rPr>
                <w:rFonts w:eastAsia="Times New Roman"/>
                <w:b/>
                <w:bCs/>
                <w:color w:val="000000"/>
                <w:sz w:val="26"/>
                <w:szCs w:val="26"/>
                <w:lang w:val="en-US"/>
              </w:rPr>
            </w:pPr>
            <w:r w:rsidRPr="00E01848">
              <w:rPr>
                <w:rFonts w:eastAsia="Times New Roman"/>
                <w:b/>
                <w:bCs/>
                <w:color w:val="000000"/>
                <w:sz w:val="26"/>
                <w:szCs w:val="26"/>
                <w:lang w:val="en-US"/>
              </w:rPr>
              <w:t xml:space="preserve">35.655 </w:t>
            </w:r>
          </w:p>
        </w:tc>
      </w:tr>
    </w:tbl>
    <w:p w:rsidR="00E01848" w:rsidRPr="00E01848" w:rsidRDefault="00E01848" w:rsidP="00E01848">
      <w:pPr>
        <w:jc w:val="center"/>
        <w:rPr>
          <w:rFonts w:eastAsia="Times New Roman"/>
          <w:bCs/>
          <w:szCs w:val="28"/>
          <w:lang w:val="sv-SE" w:eastAsia="vi-VN"/>
        </w:rPr>
      </w:pPr>
    </w:p>
    <w:p w:rsidR="00E01848" w:rsidRDefault="008E5857" w:rsidP="008E5857">
      <w:pPr>
        <w:jc w:val="right"/>
        <w:rPr>
          <w:rFonts w:eastAsia="Times New Roman"/>
          <w:b/>
          <w:bCs/>
          <w:sz w:val="26"/>
          <w:szCs w:val="26"/>
          <w:lang w:val="sv-SE" w:eastAsia="vi-VN"/>
        </w:rPr>
      </w:pPr>
      <w:r w:rsidRPr="008E5857">
        <w:rPr>
          <w:rFonts w:eastAsia="Times New Roman"/>
          <w:b/>
          <w:bCs/>
          <w:sz w:val="26"/>
          <w:szCs w:val="26"/>
          <w:lang w:val="sv-SE" w:eastAsia="vi-VN"/>
        </w:rPr>
        <w:t>ỦY BAN NHÂN DÂN TỈNH</w:t>
      </w:r>
    </w:p>
    <w:p w:rsidR="00DE2405" w:rsidRDefault="00DE2405" w:rsidP="008E5857">
      <w:pPr>
        <w:jc w:val="right"/>
        <w:rPr>
          <w:rFonts w:eastAsia="Times New Roman"/>
          <w:b/>
          <w:bCs/>
          <w:sz w:val="26"/>
          <w:szCs w:val="26"/>
          <w:lang w:val="sv-SE" w:eastAsia="vi-VN"/>
        </w:rPr>
      </w:pPr>
    </w:p>
    <w:p w:rsidR="00DE2405" w:rsidRDefault="00DE2405" w:rsidP="008E5857">
      <w:pPr>
        <w:jc w:val="right"/>
        <w:rPr>
          <w:rFonts w:eastAsia="Times New Roman"/>
          <w:b/>
          <w:bCs/>
          <w:sz w:val="26"/>
          <w:szCs w:val="26"/>
          <w:lang w:val="sv-SE" w:eastAsia="vi-VN"/>
        </w:rPr>
      </w:pPr>
    </w:p>
    <w:p w:rsidR="00DE2405" w:rsidRDefault="00DE2405" w:rsidP="008E5857">
      <w:pPr>
        <w:jc w:val="right"/>
        <w:rPr>
          <w:rFonts w:eastAsia="Times New Roman"/>
          <w:b/>
          <w:bCs/>
          <w:sz w:val="26"/>
          <w:szCs w:val="26"/>
          <w:lang w:val="sv-SE" w:eastAsia="vi-VN"/>
        </w:rPr>
      </w:pPr>
    </w:p>
    <w:p w:rsidR="00DE2405" w:rsidRDefault="00DE2405" w:rsidP="008E5857">
      <w:pPr>
        <w:jc w:val="right"/>
        <w:rPr>
          <w:rFonts w:eastAsia="Times New Roman"/>
          <w:b/>
          <w:bCs/>
          <w:sz w:val="26"/>
          <w:szCs w:val="26"/>
          <w:lang w:val="sv-SE" w:eastAsia="vi-VN"/>
        </w:rPr>
      </w:pPr>
    </w:p>
    <w:p w:rsidR="00DE2405" w:rsidRDefault="00DE2405" w:rsidP="008E5857">
      <w:pPr>
        <w:jc w:val="right"/>
        <w:rPr>
          <w:rFonts w:eastAsia="Times New Roman"/>
          <w:b/>
          <w:bCs/>
          <w:sz w:val="26"/>
          <w:szCs w:val="26"/>
          <w:lang w:val="sv-SE" w:eastAsia="vi-VN"/>
        </w:rPr>
      </w:pPr>
    </w:p>
    <w:p w:rsidR="00DE2405" w:rsidRDefault="00DE2405" w:rsidP="008E5857">
      <w:pPr>
        <w:jc w:val="right"/>
        <w:rPr>
          <w:rFonts w:eastAsia="Times New Roman"/>
          <w:b/>
          <w:bCs/>
          <w:sz w:val="26"/>
          <w:szCs w:val="26"/>
          <w:lang w:val="sv-SE" w:eastAsia="vi-VN"/>
        </w:rPr>
      </w:pPr>
    </w:p>
    <w:p w:rsidR="00DE2405" w:rsidRDefault="00DE2405" w:rsidP="008E5857">
      <w:pPr>
        <w:jc w:val="right"/>
        <w:rPr>
          <w:rFonts w:eastAsia="Times New Roman"/>
          <w:b/>
          <w:bCs/>
          <w:sz w:val="26"/>
          <w:szCs w:val="26"/>
          <w:lang w:val="sv-SE" w:eastAsia="vi-VN"/>
        </w:rPr>
      </w:pPr>
    </w:p>
    <w:p w:rsidR="00DE2405" w:rsidRDefault="00DE2405" w:rsidP="008E5857">
      <w:pPr>
        <w:jc w:val="right"/>
        <w:rPr>
          <w:rFonts w:eastAsia="Times New Roman"/>
          <w:b/>
          <w:bCs/>
          <w:sz w:val="26"/>
          <w:szCs w:val="26"/>
          <w:lang w:val="sv-SE" w:eastAsia="vi-VN"/>
        </w:rPr>
      </w:pPr>
    </w:p>
    <w:p w:rsidR="00DE2405" w:rsidRDefault="00DE2405" w:rsidP="00DE2405">
      <w:pPr>
        <w:jc w:val="center"/>
        <w:rPr>
          <w:rFonts w:eastAsia="Times New Roman"/>
          <w:b/>
          <w:bCs/>
          <w:sz w:val="26"/>
          <w:szCs w:val="26"/>
          <w:lang w:val="sv-SE" w:eastAsia="vi-VN"/>
        </w:rPr>
      </w:pPr>
      <w:r>
        <w:rPr>
          <w:rFonts w:eastAsia="Times New Roman"/>
          <w:b/>
          <w:bCs/>
          <w:sz w:val="26"/>
          <w:szCs w:val="26"/>
          <w:lang w:val="sv-SE" w:eastAsia="vi-VN"/>
        </w:rPr>
        <w:lastRenderedPageBreak/>
        <w:t>Phụ lục 2</w:t>
      </w:r>
    </w:p>
    <w:p w:rsidR="00DE2405" w:rsidRDefault="00DE2405" w:rsidP="00DE2405">
      <w:pPr>
        <w:jc w:val="center"/>
        <w:rPr>
          <w:rFonts w:eastAsia="Times New Roman"/>
          <w:b/>
          <w:bCs/>
          <w:sz w:val="26"/>
          <w:szCs w:val="26"/>
          <w:lang w:val="sv-SE" w:eastAsia="vi-VN"/>
        </w:rPr>
      </w:pPr>
      <w:r w:rsidRPr="00DE2405">
        <w:rPr>
          <w:rFonts w:eastAsia="Times New Roman"/>
          <w:b/>
          <w:bCs/>
          <w:sz w:val="26"/>
          <w:szCs w:val="26"/>
          <w:lang w:val="sv-SE" w:eastAsia="vi-VN"/>
        </w:rPr>
        <w:t>CHI TIẾT NỘI DUNG VÀ KINH PHÍ THỰC HIỆN CHƯƠNG TRÌNH KHUYẾN CÔNG ĐỊA PHƯƠNG GIAI ĐOẠN 2021-2025</w:t>
      </w:r>
    </w:p>
    <w:p w:rsidR="00DE2405" w:rsidRDefault="00DE2405" w:rsidP="00DE2405">
      <w:pPr>
        <w:jc w:val="center"/>
        <w:rPr>
          <w:rFonts w:eastAsia="Times New Roman"/>
          <w:bCs/>
          <w:i/>
          <w:szCs w:val="28"/>
          <w:lang w:val="sv-SE" w:eastAsia="vi-VN"/>
        </w:rPr>
      </w:pPr>
      <w:r w:rsidRPr="00E01848">
        <w:rPr>
          <w:rFonts w:eastAsia="Times New Roman"/>
          <w:bCs/>
          <w:i/>
          <w:szCs w:val="28"/>
          <w:lang w:val="sv-SE" w:eastAsia="vi-VN"/>
        </w:rPr>
        <w:t>(kèm theo Quyết định số</w:t>
      </w:r>
      <w:r>
        <w:rPr>
          <w:rFonts w:eastAsia="Times New Roman"/>
          <w:bCs/>
          <w:i/>
          <w:szCs w:val="28"/>
          <w:lang w:val="sv-SE" w:eastAsia="vi-VN"/>
        </w:rPr>
        <w:t>:</w:t>
      </w:r>
      <w:r w:rsidRPr="00E01848">
        <w:rPr>
          <w:rFonts w:eastAsia="Times New Roman"/>
          <w:bCs/>
          <w:i/>
          <w:szCs w:val="28"/>
          <w:lang w:val="sv-SE" w:eastAsia="vi-VN"/>
        </w:rPr>
        <w:t xml:space="preserve"> </w:t>
      </w:r>
      <w:r w:rsidR="00567DBE">
        <w:rPr>
          <w:rFonts w:eastAsia="Times New Roman"/>
          <w:bCs/>
          <w:i/>
          <w:szCs w:val="28"/>
          <w:lang w:val="sv-SE" w:eastAsia="vi-VN"/>
        </w:rPr>
        <w:t>4197</w:t>
      </w:r>
      <w:r w:rsidRPr="00E01848">
        <w:rPr>
          <w:rFonts w:eastAsia="Times New Roman"/>
          <w:bCs/>
          <w:i/>
          <w:szCs w:val="28"/>
          <w:lang w:val="sv-SE" w:eastAsia="vi-VN"/>
        </w:rPr>
        <w:t xml:space="preserve">/QĐ-UBND ngày </w:t>
      </w:r>
      <w:r w:rsidR="00567DBE">
        <w:rPr>
          <w:rFonts w:eastAsia="Times New Roman"/>
          <w:bCs/>
          <w:i/>
          <w:szCs w:val="28"/>
          <w:lang w:val="sv-SE" w:eastAsia="vi-VN"/>
        </w:rPr>
        <w:t>08</w:t>
      </w:r>
      <w:r w:rsidRPr="00E01848">
        <w:rPr>
          <w:rFonts w:eastAsia="Times New Roman"/>
          <w:bCs/>
          <w:i/>
          <w:szCs w:val="28"/>
          <w:lang w:val="sv-SE" w:eastAsia="vi-VN"/>
        </w:rPr>
        <w:t>/12/2020 của UBND tỉnh)</w:t>
      </w:r>
    </w:p>
    <w:p w:rsidR="00DE2405" w:rsidRDefault="00DE2405" w:rsidP="00DE2405">
      <w:pPr>
        <w:jc w:val="both"/>
        <w:rPr>
          <w:rFonts w:eastAsia="Times New Roman"/>
          <w:bCs/>
          <w:i/>
          <w:szCs w:val="28"/>
          <w:lang w:val="sv-SE"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465"/>
        <w:gridCol w:w="1033"/>
        <w:gridCol w:w="931"/>
        <w:gridCol w:w="931"/>
        <w:gridCol w:w="931"/>
        <w:gridCol w:w="931"/>
        <w:gridCol w:w="931"/>
        <w:gridCol w:w="2936"/>
        <w:gridCol w:w="2991"/>
      </w:tblGrid>
      <w:tr w:rsidR="00B85712" w:rsidRPr="00DE2405" w:rsidTr="00B85712">
        <w:tc>
          <w:tcPr>
            <w:tcW w:w="0" w:type="auto"/>
            <w:vMerge w:val="restart"/>
            <w:shd w:val="clear" w:color="auto" w:fill="auto"/>
            <w:vAlign w:val="center"/>
            <w:hideMark/>
          </w:tcPr>
          <w:p w:rsidR="00DE2405" w:rsidRPr="00DE2405" w:rsidRDefault="00DE2405" w:rsidP="00DE2405">
            <w:pPr>
              <w:jc w:val="center"/>
              <w:rPr>
                <w:rFonts w:eastAsia="Times New Roman"/>
                <w:b/>
                <w:bCs/>
                <w:color w:val="000000"/>
                <w:sz w:val="26"/>
                <w:szCs w:val="26"/>
                <w:lang w:val="en-US"/>
              </w:rPr>
            </w:pPr>
            <w:r w:rsidRPr="00DE2405">
              <w:rPr>
                <w:rFonts w:eastAsia="Times New Roman"/>
                <w:b/>
                <w:bCs/>
                <w:color w:val="000000"/>
                <w:sz w:val="26"/>
                <w:szCs w:val="26"/>
                <w:lang w:val="en-US"/>
              </w:rPr>
              <w:t>STT</w:t>
            </w:r>
          </w:p>
        </w:tc>
        <w:tc>
          <w:tcPr>
            <w:tcW w:w="0" w:type="auto"/>
            <w:vMerge w:val="restart"/>
            <w:shd w:val="clear" w:color="auto" w:fill="auto"/>
            <w:vAlign w:val="center"/>
            <w:hideMark/>
          </w:tcPr>
          <w:p w:rsidR="00DE2405" w:rsidRPr="00DE2405" w:rsidRDefault="00DE2405" w:rsidP="00DE2405">
            <w:pPr>
              <w:jc w:val="center"/>
              <w:rPr>
                <w:rFonts w:eastAsia="Times New Roman"/>
                <w:b/>
                <w:bCs/>
                <w:color w:val="000000"/>
                <w:sz w:val="26"/>
                <w:szCs w:val="26"/>
                <w:lang w:val="en-US"/>
              </w:rPr>
            </w:pPr>
            <w:r w:rsidRPr="00DE2405">
              <w:rPr>
                <w:rFonts w:eastAsia="Times New Roman"/>
                <w:b/>
                <w:bCs/>
                <w:color w:val="000000"/>
                <w:sz w:val="26"/>
                <w:szCs w:val="26"/>
                <w:lang w:val="en-US"/>
              </w:rPr>
              <w:t>Nội dung</w:t>
            </w:r>
          </w:p>
        </w:tc>
        <w:tc>
          <w:tcPr>
            <w:tcW w:w="0" w:type="auto"/>
            <w:gridSpan w:val="6"/>
            <w:shd w:val="clear" w:color="auto" w:fill="auto"/>
            <w:noWrap/>
            <w:vAlign w:val="bottom"/>
            <w:hideMark/>
          </w:tcPr>
          <w:p w:rsidR="00DE2405" w:rsidRPr="00DE2405" w:rsidRDefault="00DE2405" w:rsidP="00DE2405">
            <w:pPr>
              <w:jc w:val="center"/>
              <w:rPr>
                <w:rFonts w:eastAsia="Times New Roman"/>
                <w:b/>
                <w:bCs/>
                <w:color w:val="000000"/>
                <w:sz w:val="26"/>
                <w:szCs w:val="26"/>
                <w:lang w:val="en-US"/>
              </w:rPr>
            </w:pPr>
            <w:r w:rsidRPr="00DE2405">
              <w:rPr>
                <w:rFonts w:eastAsia="Times New Roman"/>
                <w:b/>
                <w:bCs/>
                <w:color w:val="000000"/>
                <w:sz w:val="26"/>
                <w:szCs w:val="26"/>
                <w:lang w:val="en-US"/>
              </w:rPr>
              <w:t>Kinh phí (Triệu đồng)</w:t>
            </w:r>
          </w:p>
        </w:tc>
        <w:tc>
          <w:tcPr>
            <w:tcW w:w="0" w:type="auto"/>
            <w:vMerge w:val="restart"/>
            <w:shd w:val="clear" w:color="auto" w:fill="auto"/>
            <w:vAlign w:val="center"/>
            <w:hideMark/>
          </w:tcPr>
          <w:p w:rsidR="00DE2405" w:rsidRPr="00DE2405" w:rsidRDefault="00DE2405" w:rsidP="00DE2405">
            <w:pPr>
              <w:jc w:val="center"/>
              <w:rPr>
                <w:rFonts w:eastAsia="Times New Roman"/>
                <w:b/>
                <w:bCs/>
                <w:color w:val="000000"/>
                <w:sz w:val="26"/>
                <w:szCs w:val="26"/>
                <w:lang w:val="en-US"/>
              </w:rPr>
            </w:pPr>
            <w:r w:rsidRPr="00DE2405">
              <w:rPr>
                <w:rFonts w:eastAsia="Times New Roman"/>
                <w:b/>
                <w:bCs/>
                <w:color w:val="000000"/>
                <w:sz w:val="26"/>
                <w:szCs w:val="26"/>
                <w:lang w:val="en-US"/>
              </w:rPr>
              <w:t>Căn cứ lập dự toán kinh phí</w:t>
            </w:r>
          </w:p>
        </w:tc>
        <w:tc>
          <w:tcPr>
            <w:tcW w:w="0" w:type="auto"/>
            <w:vMerge w:val="restart"/>
            <w:shd w:val="clear" w:color="auto" w:fill="auto"/>
            <w:vAlign w:val="center"/>
            <w:hideMark/>
          </w:tcPr>
          <w:p w:rsidR="00DE2405" w:rsidRPr="00DE2405" w:rsidRDefault="00DE2405" w:rsidP="00DE2405">
            <w:pPr>
              <w:jc w:val="center"/>
              <w:rPr>
                <w:rFonts w:eastAsia="Times New Roman"/>
                <w:b/>
                <w:bCs/>
                <w:color w:val="000000"/>
                <w:sz w:val="26"/>
                <w:szCs w:val="26"/>
                <w:lang w:val="en-US"/>
              </w:rPr>
            </w:pPr>
            <w:r w:rsidRPr="00DE2405">
              <w:rPr>
                <w:rFonts w:eastAsia="Times New Roman"/>
                <w:b/>
                <w:bCs/>
                <w:color w:val="000000"/>
                <w:sz w:val="26"/>
                <w:szCs w:val="26"/>
                <w:lang w:val="en-US"/>
              </w:rPr>
              <w:t>Kết quả dự kiến đạt được</w:t>
            </w:r>
          </w:p>
        </w:tc>
      </w:tr>
      <w:tr w:rsidR="00B85712" w:rsidRPr="00DE2405" w:rsidTr="00B85712">
        <w:tc>
          <w:tcPr>
            <w:tcW w:w="0" w:type="auto"/>
            <w:vMerge/>
            <w:vAlign w:val="center"/>
            <w:hideMark/>
          </w:tcPr>
          <w:p w:rsidR="00DE2405" w:rsidRPr="00DE2405" w:rsidRDefault="00DE2405" w:rsidP="00DE2405">
            <w:pPr>
              <w:rPr>
                <w:rFonts w:eastAsia="Times New Roman"/>
                <w:b/>
                <w:bCs/>
                <w:color w:val="000000"/>
                <w:sz w:val="26"/>
                <w:szCs w:val="26"/>
                <w:lang w:val="en-US"/>
              </w:rPr>
            </w:pPr>
          </w:p>
        </w:tc>
        <w:tc>
          <w:tcPr>
            <w:tcW w:w="0" w:type="auto"/>
            <w:vMerge/>
            <w:vAlign w:val="center"/>
            <w:hideMark/>
          </w:tcPr>
          <w:p w:rsidR="00DE2405" w:rsidRPr="00DE2405" w:rsidRDefault="00DE2405" w:rsidP="00DE2405">
            <w:pPr>
              <w:rPr>
                <w:rFonts w:eastAsia="Times New Roman"/>
                <w:b/>
                <w:bCs/>
                <w:color w:val="000000"/>
                <w:sz w:val="26"/>
                <w:szCs w:val="26"/>
                <w:lang w:val="en-US"/>
              </w:rPr>
            </w:pPr>
          </w:p>
        </w:tc>
        <w:tc>
          <w:tcPr>
            <w:tcW w:w="0" w:type="auto"/>
            <w:vMerge w:val="restart"/>
            <w:shd w:val="clear" w:color="auto" w:fill="auto"/>
            <w:vAlign w:val="center"/>
            <w:hideMark/>
          </w:tcPr>
          <w:p w:rsidR="00DE2405" w:rsidRPr="00DE2405" w:rsidRDefault="00DE2405" w:rsidP="00DE2405">
            <w:pPr>
              <w:jc w:val="center"/>
              <w:rPr>
                <w:rFonts w:eastAsia="Times New Roman"/>
                <w:b/>
                <w:bCs/>
                <w:color w:val="000000"/>
                <w:sz w:val="26"/>
                <w:szCs w:val="26"/>
                <w:lang w:val="en-US"/>
              </w:rPr>
            </w:pPr>
            <w:r w:rsidRPr="00DE2405">
              <w:rPr>
                <w:rFonts w:eastAsia="Times New Roman"/>
                <w:b/>
                <w:bCs/>
                <w:color w:val="000000"/>
                <w:sz w:val="26"/>
                <w:szCs w:val="26"/>
                <w:lang w:val="en-US"/>
              </w:rPr>
              <w:t>Giai đoạn 2021-2025</w:t>
            </w:r>
          </w:p>
        </w:tc>
        <w:tc>
          <w:tcPr>
            <w:tcW w:w="0" w:type="auto"/>
            <w:gridSpan w:val="5"/>
            <w:shd w:val="clear" w:color="auto" w:fill="auto"/>
            <w:vAlign w:val="center"/>
            <w:hideMark/>
          </w:tcPr>
          <w:p w:rsidR="00DE2405" w:rsidRPr="00DE2405" w:rsidRDefault="00DE2405" w:rsidP="00DE2405">
            <w:pPr>
              <w:jc w:val="center"/>
              <w:rPr>
                <w:rFonts w:eastAsia="Times New Roman"/>
                <w:b/>
                <w:bCs/>
                <w:color w:val="000000"/>
                <w:sz w:val="26"/>
                <w:szCs w:val="26"/>
                <w:lang w:val="en-US"/>
              </w:rPr>
            </w:pPr>
            <w:r w:rsidRPr="00DE2405">
              <w:rPr>
                <w:rFonts w:eastAsia="Times New Roman"/>
                <w:b/>
                <w:bCs/>
                <w:color w:val="000000"/>
                <w:sz w:val="26"/>
                <w:szCs w:val="26"/>
                <w:lang w:val="en-US"/>
              </w:rPr>
              <w:t>Chia ra</w:t>
            </w:r>
          </w:p>
        </w:tc>
        <w:tc>
          <w:tcPr>
            <w:tcW w:w="0" w:type="auto"/>
            <w:vMerge/>
            <w:vAlign w:val="center"/>
            <w:hideMark/>
          </w:tcPr>
          <w:p w:rsidR="00DE2405" w:rsidRPr="00DE2405" w:rsidRDefault="00DE2405" w:rsidP="00DE2405">
            <w:pPr>
              <w:rPr>
                <w:rFonts w:eastAsia="Times New Roman"/>
                <w:b/>
                <w:bCs/>
                <w:color w:val="000000"/>
                <w:sz w:val="26"/>
                <w:szCs w:val="26"/>
                <w:lang w:val="en-US"/>
              </w:rPr>
            </w:pPr>
          </w:p>
        </w:tc>
        <w:tc>
          <w:tcPr>
            <w:tcW w:w="0" w:type="auto"/>
            <w:vMerge/>
            <w:vAlign w:val="center"/>
            <w:hideMark/>
          </w:tcPr>
          <w:p w:rsidR="00DE2405" w:rsidRPr="00DE2405" w:rsidRDefault="00DE2405" w:rsidP="00DE2405">
            <w:pPr>
              <w:rPr>
                <w:rFonts w:eastAsia="Times New Roman"/>
                <w:b/>
                <w:bCs/>
                <w:color w:val="000000"/>
                <w:sz w:val="26"/>
                <w:szCs w:val="26"/>
                <w:lang w:val="en-US"/>
              </w:rPr>
            </w:pPr>
          </w:p>
        </w:tc>
      </w:tr>
      <w:tr w:rsidR="00DE2405" w:rsidRPr="00DE2405" w:rsidTr="00B85712">
        <w:tc>
          <w:tcPr>
            <w:tcW w:w="0" w:type="auto"/>
            <w:vMerge/>
            <w:vAlign w:val="center"/>
            <w:hideMark/>
          </w:tcPr>
          <w:p w:rsidR="00DE2405" w:rsidRPr="00DE2405" w:rsidRDefault="00DE2405" w:rsidP="00DE2405">
            <w:pPr>
              <w:rPr>
                <w:rFonts w:eastAsia="Times New Roman"/>
                <w:b/>
                <w:bCs/>
                <w:color w:val="000000"/>
                <w:sz w:val="26"/>
                <w:szCs w:val="26"/>
                <w:lang w:val="en-US"/>
              </w:rPr>
            </w:pPr>
          </w:p>
        </w:tc>
        <w:tc>
          <w:tcPr>
            <w:tcW w:w="0" w:type="auto"/>
            <w:vMerge/>
            <w:vAlign w:val="center"/>
            <w:hideMark/>
          </w:tcPr>
          <w:p w:rsidR="00DE2405" w:rsidRPr="00DE2405" w:rsidRDefault="00DE2405" w:rsidP="00DE2405">
            <w:pPr>
              <w:rPr>
                <w:rFonts w:eastAsia="Times New Roman"/>
                <w:b/>
                <w:bCs/>
                <w:color w:val="000000"/>
                <w:sz w:val="26"/>
                <w:szCs w:val="26"/>
                <w:lang w:val="en-US"/>
              </w:rPr>
            </w:pPr>
          </w:p>
        </w:tc>
        <w:tc>
          <w:tcPr>
            <w:tcW w:w="0" w:type="auto"/>
            <w:vMerge/>
            <w:vAlign w:val="center"/>
            <w:hideMark/>
          </w:tcPr>
          <w:p w:rsidR="00DE2405" w:rsidRPr="00DE2405" w:rsidRDefault="00DE2405" w:rsidP="00DE2405">
            <w:pPr>
              <w:rPr>
                <w:rFonts w:eastAsia="Times New Roman"/>
                <w:b/>
                <w:bCs/>
                <w:color w:val="000000"/>
                <w:sz w:val="26"/>
                <w:szCs w:val="26"/>
                <w:lang w:val="en-US"/>
              </w:rPr>
            </w:pPr>
          </w:p>
        </w:tc>
        <w:tc>
          <w:tcPr>
            <w:tcW w:w="0" w:type="auto"/>
            <w:shd w:val="clear" w:color="auto" w:fill="auto"/>
            <w:vAlign w:val="center"/>
            <w:hideMark/>
          </w:tcPr>
          <w:p w:rsidR="00DE2405" w:rsidRPr="00DE2405" w:rsidRDefault="00DE2405" w:rsidP="00DE2405">
            <w:pPr>
              <w:jc w:val="center"/>
              <w:rPr>
                <w:rFonts w:eastAsia="Times New Roman"/>
                <w:b/>
                <w:bCs/>
                <w:color w:val="000000"/>
                <w:sz w:val="26"/>
                <w:szCs w:val="26"/>
                <w:lang w:val="en-US"/>
              </w:rPr>
            </w:pPr>
            <w:r w:rsidRPr="00DE2405">
              <w:rPr>
                <w:rFonts w:eastAsia="Times New Roman"/>
                <w:b/>
                <w:bCs/>
                <w:color w:val="000000"/>
                <w:sz w:val="26"/>
                <w:szCs w:val="26"/>
                <w:lang w:val="en-US"/>
              </w:rPr>
              <w:t>2021</w:t>
            </w:r>
          </w:p>
        </w:tc>
        <w:tc>
          <w:tcPr>
            <w:tcW w:w="0" w:type="auto"/>
            <w:shd w:val="clear" w:color="auto" w:fill="auto"/>
            <w:vAlign w:val="center"/>
            <w:hideMark/>
          </w:tcPr>
          <w:p w:rsidR="00DE2405" w:rsidRPr="00DE2405" w:rsidRDefault="00DE2405" w:rsidP="00DE2405">
            <w:pPr>
              <w:jc w:val="center"/>
              <w:rPr>
                <w:rFonts w:eastAsia="Times New Roman"/>
                <w:b/>
                <w:bCs/>
                <w:color w:val="000000"/>
                <w:sz w:val="26"/>
                <w:szCs w:val="26"/>
                <w:lang w:val="en-US"/>
              </w:rPr>
            </w:pPr>
            <w:r w:rsidRPr="00DE2405">
              <w:rPr>
                <w:rFonts w:eastAsia="Times New Roman"/>
                <w:b/>
                <w:bCs/>
                <w:color w:val="000000"/>
                <w:sz w:val="26"/>
                <w:szCs w:val="26"/>
                <w:lang w:val="en-US"/>
              </w:rPr>
              <w:t>2022</w:t>
            </w:r>
          </w:p>
        </w:tc>
        <w:tc>
          <w:tcPr>
            <w:tcW w:w="0" w:type="auto"/>
            <w:shd w:val="clear" w:color="auto" w:fill="auto"/>
            <w:vAlign w:val="center"/>
            <w:hideMark/>
          </w:tcPr>
          <w:p w:rsidR="00DE2405" w:rsidRPr="00DE2405" w:rsidRDefault="00DE2405" w:rsidP="00DE2405">
            <w:pPr>
              <w:jc w:val="center"/>
              <w:rPr>
                <w:rFonts w:eastAsia="Times New Roman"/>
                <w:b/>
                <w:bCs/>
                <w:color w:val="000000"/>
                <w:sz w:val="26"/>
                <w:szCs w:val="26"/>
                <w:lang w:val="en-US"/>
              </w:rPr>
            </w:pPr>
            <w:r w:rsidRPr="00DE2405">
              <w:rPr>
                <w:rFonts w:eastAsia="Times New Roman"/>
                <w:b/>
                <w:bCs/>
                <w:color w:val="000000"/>
                <w:sz w:val="26"/>
                <w:szCs w:val="26"/>
                <w:lang w:val="en-US"/>
              </w:rPr>
              <w:t>2023</w:t>
            </w:r>
          </w:p>
        </w:tc>
        <w:tc>
          <w:tcPr>
            <w:tcW w:w="0" w:type="auto"/>
            <w:shd w:val="clear" w:color="auto" w:fill="auto"/>
            <w:vAlign w:val="center"/>
            <w:hideMark/>
          </w:tcPr>
          <w:p w:rsidR="00DE2405" w:rsidRPr="00DE2405" w:rsidRDefault="00DE2405" w:rsidP="00DE2405">
            <w:pPr>
              <w:jc w:val="center"/>
              <w:rPr>
                <w:rFonts w:eastAsia="Times New Roman"/>
                <w:b/>
                <w:bCs/>
                <w:color w:val="000000"/>
                <w:sz w:val="26"/>
                <w:szCs w:val="26"/>
                <w:lang w:val="en-US"/>
              </w:rPr>
            </w:pPr>
            <w:r w:rsidRPr="00DE2405">
              <w:rPr>
                <w:rFonts w:eastAsia="Times New Roman"/>
                <w:b/>
                <w:bCs/>
                <w:color w:val="000000"/>
                <w:sz w:val="26"/>
                <w:szCs w:val="26"/>
                <w:lang w:val="en-US"/>
              </w:rPr>
              <w:t>2024</w:t>
            </w:r>
          </w:p>
        </w:tc>
        <w:tc>
          <w:tcPr>
            <w:tcW w:w="0" w:type="auto"/>
            <w:shd w:val="clear" w:color="auto" w:fill="auto"/>
            <w:vAlign w:val="center"/>
            <w:hideMark/>
          </w:tcPr>
          <w:p w:rsidR="00DE2405" w:rsidRPr="00DE2405" w:rsidRDefault="00DE2405" w:rsidP="00DE2405">
            <w:pPr>
              <w:jc w:val="center"/>
              <w:rPr>
                <w:rFonts w:eastAsia="Times New Roman"/>
                <w:b/>
                <w:bCs/>
                <w:color w:val="000000"/>
                <w:sz w:val="26"/>
                <w:szCs w:val="26"/>
                <w:lang w:val="en-US"/>
              </w:rPr>
            </w:pPr>
            <w:r w:rsidRPr="00DE2405">
              <w:rPr>
                <w:rFonts w:eastAsia="Times New Roman"/>
                <w:b/>
                <w:bCs/>
                <w:color w:val="000000"/>
                <w:sz w:val="26"/>
                <w:szCs w:val="26"/>
                <w:lang w:val="en-US"/>
              </w:rPr>
              <w:t>2025</w:t>
            </w:r>
          </w:p>
        </w:tc>
        <w:tc>
          <w:tcPr>
            <w:tcW w:w="0" w:type="auto"/>
            <w:vMerge/>
            <w:vAlign w:val="center"/>
            <w:hideMark/>
          </w:tcPr>
          <w:p w:rsidR="00DE2405" w:rsidRPr="00DE2405" w:rsidRDefault="00DE2405" w:rsidP="00DE2405">
            <w:pPr>
              <w:rPr>
                <w:rFonts w:eastAsia="Times New Roman"/>
                <w:b/>
                <w:bCs/>
                <w:color w:val="000000"/>
                <w:sz w:val="26"/>
                <w:szCs w:val="26"/>
                <w:lang w:val="en-US"/>
              </w:rPr>
            </w:pPr>
          </w:p>
        </w:tc>
        <w:tc>
          <w:tcPr>
            <w:tcW w:w="0" w:type="auto"/>
            <w:vMerge/>
            <w:vAlign w:val="center"/>
            <w:hideMark/>
          </w:tcPr>
          <w:p w:rsidR="00DE2405" w:rsidRPr="00DE2405" w:rsidRDefault="00DE2405" w:rsidP="00DE2405">
            <w:pPr>
              <w:rPr>
                <w:rFonts w:eastAsia="Times New Roman"/>
                <w:b/>
                <w:bCs/>
                <w:color w:val="000000"/>
                <w:sz w:val="26"/>
                <w:szCs w:val="26"/>
                <w:lang w:val="en-US"/>
              </w:rPr>
            </w:pPr>
          </w:p>
        </w:tc>
      </w:tr>
      <w:tr w:rsidR="00DE2405" w:rsidRPr="00DE2405" w:rsidTr="00B85712">
        <w:tc>
          <w:tcPr>
            <w:tcW w:w="0" w:type="auto"/>
            <w:shd w:val="clear" w:color="auto" w:fill="auto"/>
            <w:noWrap/>
            <w:vAlign w:val="center"/>
            <w:hideMark/>
          </w:tcPr>
          <w:p w:rsidR="00DE2405" w:rsidRPr="00DE2405" w:rsidRDefault="00DE2405" w:rsidP="00DE2405">
            <w:pPr>
              <w:jc w:val="center"/>
              <w:rPr>
                <w:rFonts w:eastAsia="Times New Roman"/>
                <w:color w:val="000000"/>
                <w:sz w:val="26"/>
                <w:szCs w:val="26"/>
                <w:lang w:val="en-US"/>
              </w:rPr>
            </w:pPr>
            <w:r w:rsidRPr="00DE2405">
              <w:rPr>
                <w:rFonts w:eastAsia="Times New Roman"/>
                <w:color w:val="000000"/>
                <w:sz w:val="26"/>
                <w:szCs w:val="26"/>
                <w:lang w:val="en-US"/>
              </w:rPr>
              <w:t>1</w:t>
            </w:r>
          </w:p>
        </w:tc>
        <w:tc>
          <w:tcPr>
            <w:tcW w:w="0" w:type="auto"/>
            <w:shd w:val="clear" w:color="auto" w:fill="auto"/>
            <w:vAlign w:val="center"/>
            <w:hideMark/>
          </w:tcPr>
          <w:p w:rsidR="00DE2405" w:rsidRPr="00DE2405" w:rsidRDefault="00DE2405" w:rsidP="00B85712">
            <w:pPr>
              <w:jc w:val="both"/>
              <w:rPr>
                <w:rFonts w:eastAsia="Times New Roman"/>
                <w:color w:val="000000"/>
                <w:sz w:val="26"/>
                <w:szCs w:val="26"/>
                <w:lang w:val="en-US"/>
              </w:rPr>
            </w:pPr>
            <w:r w:rsidRPr="00DE2405">
              <w:rPr>
                <w:rFonts w:eastAsia="Times New Roman"/>
                <w:color w:val="000000"/>
                <w:sz w:val="26"/>
                <w:szCs w:val="26"/>
                <w:lang w:val="en-US"/>
              </w:rPr>
              <w:t>Đào tạo nghề, truyền nghề</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1.040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208</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208</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208</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208</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208</w:t>
            </w:r>
          </w:p>
        </w:tc>
        <w:tc>
          <w:tcPr>
            <w:tcW w:w="0" w:type="auto"/>
            <w:shd w:val="clear" w:color="auto" w:fill="auto"/>
            <w:vAlign w:val="center"/>
            <w:hideMark/>
          </w:tcPr>
          <w:p w:rsidR="00DE2405" w:rsidRPr="00DE2405" w:rsidRDefault="00DE2405" w:rsidP="00B85712">
            <w:pPr>
              <w:jc w:val="both"/>
              <w:rPr>
                <w:rFonts w:eastAsia="Times New Roman"/>
                <w:color w:val="000000"/>
                <w:sz w:val="26"/>
                <w:szCs w:val="26"/>
                <w:lang w:val="en-US"/>
              </w:rPr>
            </w:pPr>
            <w:r w:rsidRPr="00DE2405">
              <w:rPr>
                <w:rFonts w:eastAsia="Times New Roman"/>
                <w:color w:val="000000"/>
                <w:sz w:val="26"/>
                <w:szCs w:val="26"/>
                <w:lang w:val="en-US"/>
              </w:rPr>
              <w:t xml:space="preserve"> Quyết định số 263/QĐ-UBND ngày 21/01/2013 của UBND tỉnh </w:t>
            </w:r>
          </w:p>
        </w:tc>
        <w:tc>
          <w:tcPr>
            <w:tcW w:w="0" w:type="auto"/>
            <w:shd w:val="clear" w:color="auto" w:fill="auto"/>
            <w:vAlign w:val="center"/>
            <w:hideMark/>
          </w:tcPr>
          <w:p w:rsidR="00DE2405" w:rsidRPr="00DE2405" w:rsidRDefault="00DE2405" w:rsidP="00DE2405">
            <w:pPr>
              <w:jc w:val="both"/>
              <w:rPr>
                <w:rFonts w:eastAsia="Times New Roman"/>
                <w:color w:val="000000"/>
                <w:sz w:val="26"/>
                <w:szCs w:val="26"/>
                <w:lang w:val="en-US"/>
              </w:rPr>
            </w:pPr>
            <w:r w:rsidRPr="00DE2405">
              <w:rPr>
                <w:rFonts w:eastAsia="Times New Roman"/>
                <w:color w:val="000000"/>
                <w:sz w:val="26"/>
                <w:szCs w:val="26"/>
                <w:lang w:val="en-US"/>
              </w:rPr>
              <w:t>Đào tạo nghề, truyền nghề cho khoảng 1.000 lao động mới của các cơ sở công nghiệp nông thôn.</w:t>
            </w:r>
          </w:p>
        </w:tc>
      </w:tr>
      <w:tr w:rsidR="00DE2405" w:rsidRPr="00DE2405" w:rsidTr="00B85712">
        <w:tc>
          <w:tcPr>
            <w:tcW w:w="0" w:type="auto"/>
            <w:shd w:val="clear" w:color="auto" w:fill="auto"/>
            <w:noWrap/>
            <w:vAlign w:val="center"/>
            <w:hideMark/>
          </w:tcPr>
          <w:p w:rsidR="00DE2405" w:rsidRPr="00DE2405" w:rsidRDefault="00DE2405" w:rsidP="00DE2405">
            <w:pPr>
              <w:jc w:val="center"/>
              <w:rPr>
                <w:rFonts w:eastAsia="Times New Roman"/>
                <w:color w:val="000000"/>
                <w:sz w:val="26"/>
                <w:szCs w:val="26"/>
                <w:lang w:val="en-US"/>
              </w:rPr>
            </w:pPr>
            <w:r w:rsidRPr="00DE2405">
              <w:rPr>
                <w:rFonts w:eastAsia="Times New Roman"/>
                <w:color w:val="000000"/>
                <w:sz w:val="26"/>
                <w:szCs w:val="26"/>
                <w:lang w:val="en-US"/>
              </w:rPr>
              <w:t>2</w:t>
            </w:r>
          </w:p>
        </w:tc>
        <w:tc>
          <w:tcPr>
            <w:tcW w:w="0" w:type="auto"/>
            <w:shd w:val="clear" w:color="auto" w:fill="auto"/>
            <w:vAlign w:val="center"/>
            <w:hideMark/>
          </w:tcPr>
          <w:p w:rsidR="00DE2405" w:rsidRPr="00DE2405" w:rsidRDefault="00DE2405" w:rsidP="00B85712">
            <w:pPr>
              <w:jc w:val="both"/>
              <w:rPr>
                <w:rFonts w:eastAsia="Times New Roman"/>
                <w:color w:val="000000"/>
                <w:sz w:val="26"/>
                <w:szCs w:val="26"/>
                <w:lang w:val="en-US"/>
              </w:rPr>
            </w:pPr>
            <w:r w:rsidRPr="00DE2405">
              <w:rPr>
                <w:rFonts w:eastAsia="Times New Roman"/>
                <w:color w:val="000000"/>
                <w:sz w:val="26"/>
                <w:szCs w:val="26"/>
                <w:lang w:val="en-US"/>
              </w:rPr>
              <w:t>Nâng cao năng lực quản lý, thành lập và khởi sự doanh nghiệp</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1.000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200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200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200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200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200</w:t>
            </w:r>
          </w:p>
        </w:tc>
        <w:tc>
          <w:tcPr>
            <w:tcW w:w="0" w:type="auto"/>
            <w:shd w:val="clear" w:color="auto" w:fill="auto"/>
            <w:vAlign w:val="center"/>
            <w:hideMark/>
          </w:tcPr>
          <w:p w:rsidR="00DE2405" w:rsidRPr="00DE2405" w:rsidRDefault="00DE2405" w:rsidP="00B85712">
            <w:pPr>
              <w:jc w:val="both"/>
              <w:rPr>
                <w:rFonts w:eastAsia="Times New Roman"/>
                <w:color w:val="000000"/>
                <w:sz w:val="26"/>
                <w:szCs w:val="26"/>
                <w:lang w:val="en-US"/>
              </w:rPr>
            </w:pPr>
            <w:r w:rsidRPr="00DE2405">
              <w:rPr>
                <w:rFonts w:eastAsia="Times New Roman"/>
                <w:color w:val="000000"/>
                <w:sz w:val="26"/>
                <w:szCs w:val="26"/>
                <w:lang w:val="en-US"/>
              </w:rPr>
              <w:t>Thông tư 04/2014/TTLT-BKHĐT-BTC ngày 13/8/2014 của Liên Bộ Kế hoạch và Đầu tư và Bộ Tài chính và  Thông tư số 40/2017/TT-BTC ngày 28/4/2017 của Bộ Tài chính</w:t>
            </w:r>
          </w:p>
        </w:tc>
        <w:tc>
          <w:tcPr>
            <w:tcW w:w="0" w:type="auto"/>
            <w:shd w:val="clear" w:color="auto" w:fill="auto"/>
            <w:vAlign w:val="center"/>
            <w:hideMark/>
          </w:tcPr>
          <w:p w:rsidR="00DE2405" w:rsidRPr="00DE2405" w:rsidRDefault="00DE2405" w:rsidP="00DE2405">
            <w:pPr>
              <w:jc w:val="both"/>
              <w:rPr>
                <w:rFonts w:eastAsia="Times New Roman"/>
                <w:color w:val="000000"/>
                <w:sz w:val="26"/>
                <w:szCs w:val="26"/>
                <w:lang w:val="en-US"/>
              </w:rPr>
            </w:pPr>
            <w:r w:rsidRPr="00DE2405">
              <w:rPr>
                <w:rFonts w:eastAsia="Times New Roman"/>
                <w:color w:val="000000"/>
                <w:sz w:val="26"/>
                <w:szCs w:val="26"/>
                <w:lang w:val="en-US"/>
              </w:rPr>
              <w:t>Tổ chức 05 khóa tập huấn khởi sự doanh nghiệp, quản trị doanh nghiệp khoảng 150 người và 20 lớp tập huấn kiến thức về thương hiệu, nhãn hiệu sản phẩm, bán hàng, mở rộng thị trường, sản xuất sạch hơn cho khoảng 2.000 người.</w:t>
            </w:r>
          </w:p>
        </w:tc>
      </w:tr>
      <w:tr w:rsidR="00DE2405" w:rsidRPr="00DE2405" w:rsidTr="00B85712">
        <w:tc>
          <w:tcPr>
            <w:tcW w:w="0" w:type="auto"/>
            <w:vMerge w:val="restart"/>
            <w:shd w:val="clear" w:color="auto" w:fill="auto"/>
            <w:vAlign w:val="center"/>
            <w:hideMark/>
          </w:tcPr>
          <w:p w:rsidR="00DE2405" w:rsidRPr="00DE2405" w:rsidRDefault="00DE2405" w:rsidP="00DE2405">
            <w:pPr>
              <w:jc w:val="center"/>
              <w:rPr>
                <w:rFonts w:eastAsia="Times New Roman"/>
                <w:color w:val="000000"/>
                <w:sz w:val="26"/>
                <w:szCs w:val="26"/>
                <w:lang w:val="en-US"/>
              </w:rPr>
            </w:pPr>
            <w:r w:rsidRPr="00DE2405">
              <w:rPr>
                <w:rFonts w:eastAsia="Times New Roman"/>
                <w:color w:val="000000"/>
                <w:sz w:val="26"/>
                <w:szCs w:val="26"/>
                <w:lang w:val="en-US"/>
              </w:rPr>
              <w:t>3</w:t>
            </w:r>
          </w:p>
        </w:tc>
        <w:tc>
          <w:tcPr>
            <w:tcW w:w="0" w:type="auto"/>
            <w:shd w:val="clear" w:color="auto" w:fill="auto"/>
            <w:vAlign w:val="center"/>
            <w:hideMark/>
          </w:tcPr>
          <w:p w:rsidR="00DE2405" w:rsidRPr="00DE2405" w:rsidRDefault="00DE2405" w:rsidP="00B85712">
            <w:pPr>
              <w:jc w:val="both"/>
              <w:rPr>
                <w:rFonts w:eastAsia="Times New Roman"/>
                <w:color w:val="000000"/>
                <w:sz w:val="26"/>
                <w:szCs w:val="26"/>
                <w:lang w:val="en-US"/>
              </w:rPr>
            </w:pPr>
            <w:r w:rsidRPr="00DE2405">
              <w:rPr>
                <w:rFonts w:eastAsia="Times New Roman"/>
                <w:color w:val="000000"/>
                <w:sz w:val="26"/>
                <w:szCs w:val="26"/>
                <w:lang w:val="en-US"/>
              </w:rPr>
              <w:t xml:space="preserve">Hỗ trợ xây dựng mô hình trình diễn kỹ thuật, chuyển giao công nghệ, ứng dụng máy móc thiết bị tiên tiến, dây chuyền công nghệ vào sản xuất và xử lý ô </w:t>
            </w:r>
            <w:r w:rsidRPr="00DE2405">
              <w:rPr>
                <w:rFonts w:eastAsia="Times New Roman"/>
                <w:color w:val="000000"/>
                <w:sz w:val="26"/>
                <w:szCs w:val="26"/>
                <w:lang w:val="en-US"/>
              </w:rPr>
              <w:lastRenderedPageBreak/>
              <w:t>nhiễm môi trường</w:t>
            </w:r>
          </w:p>
        </w:tc>
        <w:tc>
          <w:tcPr>
            <w:tcW w:w="0" w:type="auto"/>
            <w:shd w:val="clear" w:color="auto" w:fill="auto"/>
            <w:noWrap/>
            <w:vAlign w:val="bottom"/>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lastRenderedPageBreak/>
              <w:t>44.400</w:t>
            </w:r>
          </w:p>
        </w:tc>
        <w:tc>
          <w:tcPr>
            <w:tcW w:w="0" w:type="auto"/>
            <w:shd w:val="clear" w:color="auto" w:fill="auto"/>
            <w:noWrap/>
            <w:vAlign w:val="bottom"/>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7.600</w:t>
            </w:r>
          </w:p>
        </w:tc>
        <w:tc>
          <w:tcPr>
            <w:tcW w:w="0" w:type="auto"/>
            <w:shd w:val="clear" w:color="auto" w:fill="auto"/>
            <w:noWrap/>
            <w:vAlign w:val="bottom"/>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9.200</w:t>
            </w:r>
          </w:p>
        </w:tc>
        <w:tc>
          <w:tcPr>
            <w:tcW w:w="0" w:type="auto"/>
            <w:shd w:val="clear" w:color="auto" w:fill="auto"/>
            <w:noWrap/>
            <w:vAlign w:val="bottom"/>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9.200</w:t>
            </w:r>
          </w:p>
        </w:tc>
        <w:tc>
          <w:tcPr>
            <w:tcW w:w="0" w:type="auto"/>
            <w:shd w:val="clear" w:color="auto" w:fill="auto"/>
            <w:noWrap/>
            <w:vAlign w:val="bottom"/>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9.200</w:t>
            </w:r>
          </w:p>
        </w:tc>
        <w:tc>
          <w:tcPr>
            <w:tcW w:w="0" w:type="auto"/>
            <w:shd w:val="clear" w:color="auto" w:fill="auto"/>
            <w:noWrap/>
            <w:vAlign w:val="bottom"/>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9.200</w:t>
            </w:r>
          </w:p>
        </w:tc>
        <w:tc>
          <w:tcPr>
            <w:tcW w:w="0" w:type="auto"/>
            <w:vMerge w:val="restart"/>
            <w:shd w:val="clear" w:color="auto" w:fill="auto"/>
            <w:vAlign w:val="center"/>
            <w:hideMark/>
          </w:tcPr>
          <w:p w:rsidR="00DE2405" w:rsidRPr="00DE2405" w:rsidRDefault="00DE2405" w:rsidP="00B85712">
            <w:pPr>
              <w:jc w:val="both"/>
              <w:rPr>
                <w:rFonts w:eastAsia="Times New Roman"/>
                <w:color w:val="000000"/>
                <w:sz w:val="26"/>
                <w:szCs w:val="26"/>
                <w:lang w:val="en-US"/>
              </w:rPr>
            </w:pPr>
            <w:r w:rsidRPr="00DE2405">
              <w:rPr>
                <w:rFonts w:eastAsia="Times New Roman"/>
                <w:color w:val="000000"/>
                <w:sz w:val="26"/>
                <w:szCs w:val="26"/>
                <w:lang w:val="en-US"/>
              </w:rPr>
              <w:t xml:space="preserve"> Thông tư 28/2018/TT-BTC ngày 28/3/2018 của Bộ Tài chính và Nghị quyết số 86/2018/QĐ-HĐND ngày 18/7/2018 của HĐND tỉnh Hà Tĩnh </w:t>
            </w:r>
          </w:p>
        </w:tc>
        <w:tc>
          <w:tcPr>
            <w:tcW w:w="0" w:type="auto"/>
            <w:vMerge w:val="restart"/>
            <w:shd w:val="clear" w:color="auto" w:fill="auto"/>
            <w:vAlign w:val="center"/>
            <w:hideMark/>
          </w:tcPr>
          <w:p w:rsidR="00DE2405" w:rsidRPr="00DE2405" w:rsidRDefault="00DE2405" w:rsidP="00DE2405">
            <w:pPr>
              <w:jc w:val="both"/>
              <w:rPr>
                <w:rFonts w:eastAsia="Times New Roman"/>
                <w:color w:val="000000"/>
                <w:sz w:val="26"/>
                <w:szCs w:val="26"/>
                <w:lang w:val="en-US"/>
              </w:rPr>
            </w:pPr>
            <w:r w:rsidRPr="00DE2405">
              <w:rPr>
                <w:rFonts w:eastAsia="Times New Roman"/>
                <w:color w:val="000000"/>
                <w:sz w:val="26"/>
                <w:szCs w:val="26"/>
                <w:lang w:val="en-US"/>
              </w:rPr>
              <w:t xml:space="preserve">Hỗ trợ xây dựng 10 mô hình trình diễn kỹ thuật sản xuất sản phẩm mới hoặc công nghệ mới; 04 mô hình áp dụng giải pháp sản xuất sạch hơn trong công nghiệp; hỗ trợ 30 lượt cơ sở CNNT ứng </w:t>
            </w:r>
            <w:r w:rsidRPr="00DE2405">
              <w:rPr>
                <w:rFonts w:eastAsia="Times New Roman"/>
                <w:color w:val="000000"/>
                <w:sz w:val="26"/>
                <w:szCs w:val="26"/>
                <w:lang w:val="en-US"/>
              </w:rPr>
              <w:lastRenderedPageBreak/>
              <w:t>dựng máy móc, thiết bị tiên tiến, dây chuyền công nghệ trong sản xuất và xử lý ô nhiễm môi trường.</w:t>
            </w:r>
          </w:p>
        </w:tc>
      </w:tr>
      <w:tr w:rsidR="00DE2405" w:rsidRPr="00DE2405" w:rsidTr="00B85712">
        <w:tc>
          <w:tcPr>
            <w:tcW w:w="0" w:type="auto"/>
            <w:vMerge/>
            <w:vAlign w:val="center"/>
            <w:hideMark/>
          </w:tcPr>
          <w:p w:rsidR="00DE2405" w:rsidRPr="00DE2405" w:rsidRDefault="00DE2405" w:rsidP="00DE2405">
            <w:pPr>
              <w:rPr>
                <w:rFonts w:eastAsia="Times New Roman"/>
                <w:color w:val="000000"/>
                <w:sz w:val="26"/>
                <w:szCs w:val="26"/>
                <w:lang w:val="en-US"/>
              </w:rPr>
            </w:pPr>
          </w:p>
        </w:tc>
        <w:tc>
          <w:tcPr>
            <w:tcW w:w="0" w:type="auto"/>
            <w:shd w:val="clear" w:color="auto" w:fill="auto"/>
            <w:vAlign w:val="center"/>
            <w:hideMark/>
          </w:tcPr>
          <w:p w:rsidR="00DE2405" w:rsidRPr="00DE2405" w:rsidRDefault="00DE2405" w:rsidP="00B85712">
            <w:pPr>
              <w:jc w:val="both"/>
              <w:rPr>
                <w:rFonts w:eastAsia="Times New Roman"/>
                <w:i/>
                <w:iCs/>
                <w:color w:val="000000"/>
                <w:sz w:val="26"/>
                <w:szCs w:val="26"/>
                <w:lang w:val="en-US"/>
              </w:rPr>
            </w:pPr>
            <w:r w:rsidRPr="00DE2405">
              <w:rPr>
                <w:rFonts w:eastAsia="Times New Roman"/>
                <w:i/>
                <w:iCs/>
                <w:color w:val="000000"/>
                <w:sz w:val="26"/>
                <w:szCs w:val="26"/>
                <w:lang w:val="en-US"/>
              </w:rPr>
              <w:t>Chia ra: Ngân sách hỗ trợ thực hiện</w:t>
            </w:r>
          </w:p>
        </w:tc>
        <w:tc>
          <w:tcPr>
            <w:tcW w:w="0" w:type="auto"/>
            <w:shd w:val="clear" w:color="auto" w:fill="auto"/>
            <w:vAlign w:val="center"/>
            <w:hideMark/>
          </w:tcPr>
          <w:p w:rsidR="00DE2405" w:rsidRPr="00DE2405" w:rsidRDefault="00DE2405" w:rsidP="00B85712">
            <w:pPr>
              <w:jc w:val="center"/>
              <w:rPr>
                <w:rFonts w:eastAsia="Times New Roman"/>
                <w:i/>
                <w:iCs/>
                <w:color w:val="000000"/>
                <w:sz w:val="26"/>
                <w:szCs w:val="26"/>
                <w:lang w:val="en-US"/>
              </w:rPr>
            </w:pPr>
            <w:r w:rsidRPr="00DE2405">
              <w:rPr>
                <w:rFonts w:eastAsia="Times New Roman"/>
                <w:i/>
                <w:iCs/>
                <w:color w:val="000000"/>
                <w:sz w:val="26"/>
                <w:szCs w:val="26"/>
                <w:lang w:val="en-US"/>
              </w:rPr>
              <w:t>15.600</w:t>
            </w:r>
          </w:p>
        </w:tc>
        <w:tc>
          <w:tcPr>
            <w:tcW w:w="0" w:type="auto"/>
            <w:shd w:val="clear" w:color="auto" w:fill="auto"/>
            <w:vAlign w:val="center"/>
            <w:hideMark/>
          </w:tcPr>
          <w:p w:rsidR="00DE2405" w:rsidRPr="00DE2405" w:rsidRDefault="00DE2405" w:rsidP="00B85712">
            <w:pPr>
              <w:jc w:val="center"/>
              <w:rPr>
                <w:rFonts w:eastAsia="Times New Roman"/>
                <w:i/>
                <w:iCs/>
                <w:color w:val="000000"/>
                <w:sz w:val="26"/>
                <w:szCs w:val="26"/>
                <w:lang w:val="en-US"/>
              </w:rPr>
            </w:pPr>
            <w:r w:rsidRPr="00DE2405">
              <w:rPr>
                <w:rFonts w:eastAsia="Times New Roman"/>
                <w:i/>
                <w:iCs/>
                <w:color w:val="000000"/>
                <w:sz w:val="26"/>
                <w:szCs w:val="26"/>
                <w:lang w:val="en-US"/>
              </w:rPr>
              <w:t>2.800</w:t>
            </w:r>
          </w:p>
        </w:tc>
        <w:tc>
          <w:tcPr>
            <w:tcW w:w="0" w:type="auto"/>
            <w:shd w:val="clear" w:color="auto" w:fill="auto"/>
            <w:vAlign w:val="center"/>
            <w:hideMark/>
          </w:tcPr>
          <w:p w:rsidR="00DE2405" w:rsidRPr="00DE2405" w:rsidRDefault="00DE2405" w:rsidP="00B85712">
            <w:pPr>
              <w:jc w:val="center"/>
              <w:rPr>
                <w:rFonts w:eastAsia="Times New Roman"/>
                <w:i/>
                <w:iCs/>
                <w:color w:val="000000"/>
                <w:sz w:val="26"/>
                <w:szCs w:val="26"/>
                <w:lang w:val="en-US"/>
              </w:rPr>
            </w:pPr>
            <w:r w:rsidRPr="00DE2405">
              <w:rPr>
                <w:rFonts w:eastAsia="Times New Roman"/>
                <w:i/>
                <w:iCs/>
                <w:color w:val="000000"/>
                <w:sz w:val="26"/>
                <w:szCs w:val="26"/>
                <w:lang w:val="en-US"/>
              </w:rPr>
              <w:t>3.200</w:t>
            </w:r>
          </w:p>
        </w:tc>
        <w:tc>
          <w:tcPr>
            <w:tcW w:w="0" w:type="auto"/>
            <w:shd w:val="clear" w:color="auto" w:fill="auto"/>
            <w:vAlign w:val="center"/>
            <w:hideMark/>
          </w:tcPr>
          <w:p w:rsidR="00DE2405" w:rsidRPr="00DE2405" w:rsidRDefault="00DE2405" w:rsidP="00B85712">
            <w:pPr>
              <w:jc w:val="center"/>
              <w:rPr>
                <w:rFonts w:eastAsia="Times New Roman"/>
                <w:i/>
                <w:iCs/>
                <w:color w:val="000000"/>
                <w:sz w:val="26"/>
                <w:szCs w:val="26"/>
                <w:lang w:val="en-US"/>
              </w:rPr>
            </w:pPr>
            <w:r w:rsidRPr="00DE2405">
              <w:rPr>
                <w:rFonts w:eastAsia="Times New Roman"/>
                <w:i/>
                <w:iCs/>
                <w:color w:val="000000"/>
                <w:sz w:val="26"/>
                <w:szCs w:val="26"/>
                <w:lang w:val="en-US"/>
              </w:rPr>
              <w:t>3.200</w:t>
            </w:r>
          </w:p>
        </w:tc>
        <w:tc>
          <w:tcPr>
            <w:tcW w:w="0" w:type="auto"/>
            <w:shd w:val="clear" w:color="auto" w:fill="auto"/>
            <w:vAlign w:val="center"/>
            <w:hideMark/>
          </w:tcPr>
          <w:p w:rsidR="00DE2405" w:rsidRPr="00DE2405" w:rsidRDefault="00DE2405" w:rsidP="00B85712">
            <w:pPr>
              <w:jc w:val="center"/>
              <w:rPr>
                <w:rFonts w:eastAsia="Times New Roman"/>
                <w:i/>
                <w:iCs/>
                <w:color w:val="000000"/>
                <w:sz w:val="26"/>
                <w:szCs w:val="26"/>
                <w:lang w:val="en-US"/>
              </w:rPr>
            </w:pPr>
            <w:r w:rsidRPr="00DE2405">
              <w:rPr>
                <w:rFonts w:eastAsia="Times New Roman"/>
                <w:i/>
                <w:iCs/>
                <w:color w:val="000000"/>
                <w:sz w:val="26"/>
                <w:szCs w:val="26"/>
                <w:lang w:val="en-US"/>
              </w:rPr>
              <w:t>3.200</w:t>
            </w:r>
          </w:p>
        </w:tc>
        <w:tc>
          <w:tcPr>
            <w:tcW w:w="0" w:type="auto"/>
            <w:shd w:val="clear" w:color="auto" w:fill="auto"/>
            <w:vAlign w:val="center"/>
            <w:hideMark/>
          </w:tcPr>
          <w:p w:rsidR="00DE2405" w:rsidRPr="00DE2405" w:rsidRDefault="00DE2405" w:rsidP="00B85712">
            <w:pPr>
              <w:jc w:val="center"/>
              <w:rPr>
                <w:rFonts w:eastAsia="Times New Roman"/>
                <w:i/>
                <w:iCs/>
                <w:color w:val="000000"/>
                <w:sz w:val="26"/>
                <w:szCs w:val="26"/>
                <w:lang w:val="en-US"/>
              </w:rPr>
            </w:pPr>
            <w:r w:rsidRPr="00DE2405">
              <w:rPr>
                <w:rFonts w:eastAsia="Times New Roman"/>
                <w:i/>
                <w:iCs/>
                <w:color w:val="000000"/>
                <w:sz w:val="26"/>
                <w:szCs w:val="26"/>
                <w:lang w:val="en-US"/>
              </w:rPr>
              <w:t>3.200</w:t>
            </w:r>
          </w:p>
        </w:tc>
        <w:tc>
          <w:tcPr>
            <w:tcW w:w="0" w:type="auto"/>
            <w:vMerge/>
            <w:vAlign w:val="center"/>
            <w:hideMark/>
          </w:tcPr>
          <w:p w:rsidR="00DE2405" w:rsidRPr="00DE2405" w:rsidRDefault="00DE2405" w:rsidP="00DE2405">
            <w:pPr>
              <w:rPr>
                <w:rFonts w:eastAsia="Times New Roman"/>
                <w:color w:val="000000"/>
                <w:sz w:val="26"/>
                <w:szCs w:val="26"/>
                <w:lang w:val="en-US"/>
              </w:rPr>
            </w:pPr>
          </w:p>
        </w:tc>
        <w:tc>
          <w:tcPr>
            <w:tcW w:w="0" w:type="auto"/>
            <w:vMerge/>
            <w:vAlign w:val="center"/>
            <w:hideMark/>
          </w:tcPr>
          <w:p w:rsidR="00DE2405" w:rsidRPr="00DE2405" w:rsidRDefault="00DE2405" w:rsidP="00DE2405">
            <w:pPr>
              <w:rPr>
                <w:rFonts w:eastAsia="Times New Roman"/>
                <w:color w:val="000000"/>
                <w:sz w:val="26"/>
                <w:szCs w:val="26"/>
                <w:lang w:val="en-US"/>
              </w:rPr>
            </w:pPr>
          </w:p>
        </w:tc>
      </w:tr>
      <w:tr w:rsidR="00DE2405" w:rsidRPr="00DE2405" w:rsidTr="00B85712">
        <w:tc>
          <w:tcPr>
            <w:tcW w:w="0" w:type="auto"/>
            <w:vMerge/>
            <w:vAlign w:val="center"/>
            <w:hideMark/>
          </w:tcPr>
          <w:p w:rsidR="00DE2405" w:rsidRPr="00DE2405" w:rsidRDefault="00DE2405" w:rsidP="00DE2405">
            <w:pPr>
              <w:rPr>
                <w:rFonts w:eastAsia="Times New Roman"/>
                <w:color w:val="000000"/>
                <w:sz w:val="26"/>
                <w:szCs w:val="26"/>
                <w:lang w:val="en-US"/>
              </w:rPr>
            </w:pPr>
          </w:p>
        </w:tc>
        <w:tc>
          <w:tcPr>
            <w:tcW w:w="0" w:type="auto"/>
            <w:shd w:val="clear" w:color="auto" w:fill="auto"/>
            <w:vAlign w:val="center"/>
            <w:hideMark/>
          </w:tcPr>
          <w:p w:rsidR="00DE2405" w:rsidRPr="00DE2405" w:rsidRDefault="00DE2405" w:rsidP="00B85712">
            <w:pPr>
              <w:jc w:val="both"/>
              <w:rPr>
                <w:rFonts w:eastAsia="Times New Roman"/>
                <w:i/>
                <w:iCs/>
                <w:color w:val="000000"/>
                <w:sz w:val="26"/>
                <w:szCs w:val="26"/>
                <w:lang w:val="en-US"/>
              </w:rPr>
            </w:pPr>
            <w:r w:rsidRPr="00DE2405">
              <w:rPr>
                <w:rFonts w:eastAsia="Times New Roman"/>
                <w:i/>
                <w:iCs/>
                <w:color w:val="000000"/>
                <w:sz w:val="26"/>
                <w:szCs w:val="26"/>
                <w:lang w:val="en-US"/>
              </w:rPr>
              <w:t>Nguồn đối ứng của các đơn vị thụ hưởng</w:t>
            </w:r>
          </w:p>
        </w:tc>
        <w:tc>
          <w:tcPr>
            <w:tcW w:w="0" w:type="auto"/>
            <w:shd w:val="clear" w:color="auto" w:fill="auto"/>
            <w:vAlign w:val="center"/>
            <w:hideMark/>
          </w:tcPr>
          <w:p w:rsidR="00DE2405" w:rsidRPr="00DE2405" w:rsidRDefault="00DE2405" w:rsidP="00B85712">
            <w:pPr>
              <w:jc w:val="center"/>
              <w:rPr>
                <w:rFonts w:eastAsia="Times New Roman"/>
                <w:i/>
                <w:iCs/>
                <w:color w:val="000000"/>
                <w:sz w:val="26"/>
                <w:szCs w:val="26"/>
                <w:lang w:val="en-US"/>
              </w:rPr>
            </w:pPr>
            <w:r w:rsidRPr="00DE2405">
              <w:rPr>
                <w:rFonts w:eastAsia="Times New Roman"/>
                <w:i/>
                <w:iCs/>
                <w:color w:val="000000"/>
                <w:sz w:val="26"/>
                <w:szCs w:val="26"/>
                <w:lang w:val="en-US"/>
              </w:rPr>
              <w:t>28.800</w:t>
            </w:r>
          </w:p>
        </w:tc>
        <w:tc>
          <w:tcPr>
            <w:tcW w:w="0" w:type="auto"/>
            <w:shd w:val="clear" w:color="auto" w:fill="auto"/>
            <w:noWrap/>
            <w:vAlign w:val="center"/>
            <w:hideMark/>
          </w:tcPr>
          <w:p w:rsidR="00DE2405" w:rsidRPr="00DE2405" w:rsidRDefault="00DE2405" w:rsidP="00B85712">
            <w:pPr>
              <w:jc w:val="center"/>
              <w:rPr>
                <w:rFonts w:eastAsia="Times New Roman"/>
                <w:i/>
                <w:iCs/>
                <w:sz w:val="26"/>
                <w:szCs w:val="26"/>
                <w:lang w:val="en-US"/>
              </w:rPr>
            </w:pPr>
            <w:r w:rsidRPr="00DE2405">
              <w:rPr>
                <w:rFonts w:eastAsia="Times New Roman"/>
                <w:i/>
                <w:iCs/>
                <w:sz w:val="26"/>
                <w:szCs w:val="26"/>
                <w:lang w:val="en-US"/>
              </w:rPr>
              <w:t>4.800</w:t>
            </w:r>
          </w:p>
        </w:tc>
        <w:tc>
          <w:tcPr>
            <w:tcW w:w="0" w:type="auto"/>
            <w:shd w:val="clear" w:color="auto" w:fill="auto"/>
            <w:vAlign w:val="center"/>
            <w:hideMark/>
          </w:tcPr>
          <w:p w:rsidR="00DE2405" w:rsidRPr="00DE2405" w:rsidRDefault="00DE2405" w:rsidP="00B85712">
            <w:pPr>
              <w:jc w:val="center"/>
              <w:rPr>
                <w:rFonts w:eastAsia="Times New Roman"/>
                <w:i/>
                <w:iCs/>
                <w:sz w:val="26"/>
                <w:szCs w:val="26"/>
                <w:lang w:val="en-US"/>
              </w:rPr>
            </w:pPr>
            <w:r w:rsidRPr="00DE2405">
              <w:rPr>
                <w:rFonts w:eastAsia="Times New Roman"/>
                <w:i/>
                <w:iCs/>
                <w:sz w:val="26"/>
                <w:szCs w:val="26"/>
                <w:lang w:val="en-US"/>
              </w:rPr>
              <w:t>6.000</w:t>
            </w:r>
          </w:p>
        </w:tc>
        <w:tc>
          <w:tcPr>
            <w:tcW w:w="0" w:type="auto"/>
            <w:shd w:val="clear" w:color="auto" w:fill="auto"/>
            <w:vAlign w:val="center"/>
            <w:hideMark/>
          </w:tcPr>
          <w:p w:rsidR="00DE2405" w:rsidRPr="00DE2405" w:rsidRDefault="00DE2405" w:rsidP="00B85712">
            <w:pPr>
              <w:jc w:val="center"/>
              <w:rPr>
                <w:rFonts w:eastAsia="Times New Roman"/>
                <w:i/>
                <w:iCs/>
                <w:sz w:val="26"/>
                <w:szCs w:val="26"/>
                <w:lang w:val="en-US"/>
              </w:rPr>
            </w:pPr>
            <w:r w:rsidRPr="00DE2405">
              <w:rPr>
                <w:rFonts w:eastAsia="Times New Roman"/>
                <w:i/>
                <w:iCs/>
                <w:sz w:val="26"/>
                <w:szCs w:val="26"/>
                <w:lang w:val="en-US"/>
              </w:rPr>
              <w:t>6.000</w:t>
            </w:r>
          </w:p>
        </w:tc>
        <w:tc>
          <w:tcPr>
            <w:tcW w:w="0" w:type="auto"/>
            <w:shd w:val="clear" w:color="auto" w:fill="auto"/>
            <w:vAlign w:val="center"/>
            <w:hideMark/>
          </w:tcPr>
          <w:p w:rsidR="00DE2405" w:rsidRPr="00DE2405" w:rsidRDefault="00DE2405" w:rsidP="00B85712">
            <w:pPr>
              <w:jc w:val="center"/>
              <w:rPr>
                <w:rFonts w:eastAsia="Times New Roman"/>
                <w:i/>
                <w:iCs/>
                <w:sz w:val="26"/>
                <w:szCs w:val="26"/>
                <w:lang w:val="en-US"/>
              </w:rPr>
            </w:pPr>
            <w:r w:rsidRPr="00DE2405">
              <w:rPr>
                <w:rFonts w:eastAsia="Times New Roman"/>
                <w:i/>
                <w:iCs/>
                <w:sz w:val="26"/>
                <w:szCs w:val="26"/>
                <w:lang w:val="en-US"/>
              </w:rPr>
              <w:t>6.000</w:t>
            </w:r>
          </w:p>
        </w:tc>
        <w:tc>
          <w:tcPr>
            <w:tcW w:w="0" w:type="auto"/>
            <w:shd w:val="clear" w:color="auto" w:fill="auto"/>
            <w:vAlign w:val="center"/>
            <w:hideMark/>
          </w:tcPr>
          <w:p w:rsidR="00DE2405" w:rsidRPr="00DE2405" w:rsidRDefault="00DE2405" w:rsidP="00B85712">
            <w:pPr>
              <w:jc w:val="center"/>
              <w:rPr>
                <w:rFonts w:eastAsia="Times New Roman"/>
                <w:i/>
                <w:iCs/>
                <w:sz w:val="26"/>
                <w:szCs w:val="26"/>
                <w:lang w:val="en-US"/>
              </w:rPr>
            </w:pPr>
            <w:r w:rsidRPr="00DE2405">
              <w:rPr>
                <w:rFonts w:eastAsia="Times New Roman"/>
                <w:i/>
                <w:iCs/>
                <w:sz w:val="26"/>
                <w:szCs w:val="26"/>
                <w:lang w:val="en-US"/>
              </w:rPr>
              <w:t>6.000</w:t>
            </w:r>
          </w:p>
        </w:tc>
        <w:tc>
          <w:tcPr>
            <w:tcW w:w="0" w:type="auto"/>
            <w:vMerge/>
            <w:vAlign w:val="center"/>
            <w:hideMark/>
          </w:tcPr>
          <w:p w:rsidR="00DE2405" w:rsidRPr="00DE2405" w:rsidRDefault="00DE2405" w:rsidP="00DE2405">
            <w:pPr>
              <w:rPr>
                <w:rFonts w:eastAsia="Times New Roman"/>
                <w:color w:val="000000"/>
                <w:sz w:val="26"/>
                <w:szCs w:val="26"/>
                <w:lang w:val="en-US"/>
              </w:rPr>
            </w:pPr>
          </w:p>
        </w:tc>
        <w:tc>
          <w:tcPr>
            <w:tcW w:w="0" w:type="auto"/>
            <w:vMerge/>
            <w:vAlign w:val="center"/>
            <w:hideMark/>
          </w:tcPr>
          <w:p w:rsidR="00DE2405" w:rsidRPr="00DE2405" w:rsidRDefault="00DE2405" w:rsidP="00DE2405">
            <w:pPr>
              <w:rPr>
                <w:rFonts w:eastAsia="Times New Roman"/>
                <w:color w:val="000000"/>
                <w:sz w:val="26"/>
                <w:szCs w:val="26"/>
                <w:lang w:val="en-US"/>
              </w:rPr>
            </w:pPr>
          </w:p>
        </w:tc>
      </w:tr>
      <w:tr w:rsidR="00DE2405" w:rsidRPr="00DE2405" w:rsidTr="00B85712">
        <w:tc>
          <w:tcPr>
            <w:tcW w:w="0" w:type="auto"/>
            <w:vMerge w:val="restart"/>
            <w:shd w:val="clear" w:color="auto" w:fill="auto"/>
            <w:noWrap/>
            <w:vAlign w:val="center"/>
            <w:hideMark/>
          </w:tcPr>
          <w:p w:rsidR="00DE2405" w:rsidRPr="00DE2405" w:rsidRDefault="00DE2405" w:rsidP="00DE2405">
            <w:pPr>
              <w:jc w:val="center"/>
              <w:rPr>
                <w:rFonts w:eastAsia="Times New Roman"/>
                <w:color w:val="000000"/>
                <w:sz w:val="26"/>
                <w:szCs w:val="26"/>
                <w:lang w:val="en-US"/>
              </w:rPr>
            </w:pPr>
            <w:r w:rsidRPr="00DE2405">
              <w:rPr>
                <w:rFonts w:eastAsia="Times New Roman"/>
                <w:color w:val="000000"/>
                <w:sz w:val="26"/>
                <w:szCs w:val="26"/>
                <w:lang w:val="en-US"/>
              </w:rPr>
              <w:t>4</w:t>
            </w:r>
          </w:p>
        </w:tc>
        <w:tc>
          <w:tcPr>
            <w:tcW w:w="0" w:type="auto"/>
            <w:shd w:val="clear" w:color="auto" w:fill="auto"/>
            <w:vAlign w:val="center"/>
            <w:hideMark/>
          </w:tcPr>
          <w:p w:rsidR="00DE2405" w:rsidRPr="00DE2405" w:rsidRDefault="00DE2405" w:rsidP="00B85712">
            <w:pPr>
              <w:jc w:val="both"/>
              <w:rPr>
                <w:rFonts w:eastAsia="Times New Roman"/>
                <w:color w:val="000000"/>
                <w:sz w:val="26"/>
                <w:szCs w:val="26"/>
                <w:lang w:val="en-US"/>
              </w:rPr>
            </w:pPr>
            <w:r w:rsidRPr="00DE2405">
              <w:rPr>
                <w:rFonts w:eastAsia="Times New Roman"/>
                <w:color w:val="000000"/>
                <w:sz w:val="26"/>
                <w:szCs w:val="26"/>
                <w:lang w:val="en-US"/>
              </w:rPr>
              <w:t>Phát triển sản phẩm công nghiệp nông thôn tiêu biểu</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3.140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480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660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560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730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710</w:t>
            </w:r>
          </w:p>
        </w:tc>
        <w:tc>
          <w:tcPr>
            <w:tcW w:w="0" w:type="auto"/>
            <w:vMerge w:val="restart"/>
            <w:shd w:val="clear" w:color="auto" w:fill="auto"/>
            <w:vAlign w:val="center"/>
            <w:hideMark/>
          </w:tcPr>
          <w:p w:rsidR="00DE2405" w:rsidRPr="00DE2405" w:rsidRDefault="00DE2405" w:rsidP="00B85712">
            <w:pPr>
              <w:jc w:val="both"/>
              <w:rPr>
                <w:rFonts w:eastAsia="Times New Roman"/>
                <w:color w:val="000000"/>
                <w:sz w:val="26"/>
                <w:szCs w:val="26"/>
                <w:lang w:val="en-US"/>
              </w:rPr>
            </w:pPr>
            <w:r w:rsidRPr="00DE2405">
              <w:rPr>
                <w:rFonts w:eastAsia="Times New Roman"/>
                <w:color w:val="000000"/>
                <w:sz w:val="26"/>
                <w:szCs w:val="26"/>
                <w:lang w:val="en-US"/>
              </w:rPr>
              <w:t xml:space="preserve"> Nghị quyết số 86/2018/QĐ-HĐND ngày 18/7/2018 của HĐND tỉnh Hà Tĩnh </w:t>
            </w:r>
          </w:p>
        </w:tc>
        <w:tc>
          <w:tcPr>
            <w:tcW w:w="0" w:type="auto"/>
            <w:vMerge w:val="restart"/>
            <w:shd w:val="clear" w:color="auto" w:fill="auto"/>
            <w:vAlign w:val="center"/>
            <w:hideMark/>
          </w:tcPr>
          <w:p w:rsidR="00DE2405" w:rsidRPr="00DE2405" w:rsidRDefault="00DE2405" w:rsidP="00DE2405">
            <w:pPr>
              <w:jc w:val="both"/>
              <w:rPr>
                <w:rFonts w:eastAsia="Times New Roman"/>
                <w:color w:val="000000"/>
                <w:sz w:val="26"/>
                <w:szCs w:val="26"/>
                <w:lang w:val="en-US"/>
              </w:rPr>
            </w:pPr>
            <w:r w:rsidRPr="00DE2405">
              <w:rPr>
                <w:rFonts w:eastAsia="Times New Roman"/>
                <w:color w:val="000000"/>
                <w:sz w:val="26"/>
                <w:szCs w:val="26"/>
                <w:lang w:val="en-US"/>
              </w:rPr>
              <w:t>Tổ chức 03 lần bình chọn sản phẩm CNNT cấp tỉnh, tham gia 3 lần bình chọn cấp quốc gia và 02 lần cấp khu vực; tổ chức gian hàng tham gia hội chợ (05 lần); hỗ trợ 07 phòng trưng bày sản phẩm đạt giải các cấp; hỗ trợ 15 nhãn hiệu sản phẩm.</w:t>
            </w:r>
          </w:p>
        </w:tc>
      </w:tr>
      <w:tr w:rsidR="00DE2405" w:rsidRPr="00DE2405" w:rsidTr="00B85712">
        <w:tc>
          <w:tcPr>
            <w:tcW w:w="0" w:type="auto"/>
            <w:vMerge/>
            <w:vAlign w:val="center"/>
            <w:hideMark/>
          </w:tcPr>
          <w:p w:rsidR="00DE2405" w:rsidRPr="00DE2405" w:rsidRDefault="00DE2405" w:rsidP="00DE2405">
            <w:pPr>
              <w:rPr>
                <w:rFonts w:eastAsia="Times New Roman"/>
                <w:color w:val="000000"/>
                <w:sz w:val="26"/>
                <w:szCs w:val="26"/>
                <w:lang w:val="en-US"/>
              </w:rPr>
            </w:pPr>
          </w:p>
        </w:tc>
        <w:tc>
          <w:tcPr>
            <w:tcW w:w="0" w:type="auto"/>
            <w:shd w:val="clear" w:color="auto" w:fill="auto"/>
            <w:vAlign w:val="center"/>
            <w:hideMark/>
          </w:tcPr>
          <w:p w:rsidR="00DE2405" w:rsidRPr="00DE2405" w:rsidRDefault="00DE2405" w:rsidP="00B85712">
            <w:pPr>
              <w:jc w:val="both"/>
              <w:rPr>
                <w:rFonts w:eastAsia="Times New Roman"/>
                <w:i/>
                <w:iCs/>
                <w:color w:val="000000"/>
                <w:sz w:val="26"/>
                <w:szCs w:val="26"/>
                <w:lang w:val="en-US"/>
              </w:rPr>
            </w:pPr>
            <w:r w:rsidRPr="00DE2405">
              <w:rPr>
                <w:rFonts w:eastAsia="Times New Roman"/>
                <w:i/>
                <w:iCs/>
                <w:color w:val="000000"/>
                <w:sz w:val="26"/>
                <w:szCs w:val="26"/>
                <w:lang w:val="en-US"/>
              </w:rPr>
              <w:t>Chia ra: Ngân sách hỗ trợ thực hiện</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2.685</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480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485</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560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555</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605</w:t>
            </w:r>
          </w:p>
        </w:tc>
        <w:tc>
          <w:tcPr>
            <w:tcW w:w="0" w:type="auto"/>
            <w:vMerge/>
            <w:vAlign w:val="center"/>
            <w:hideMark/>
          </w:tcPr>
          <w:p w:rsidR="00DE2405" w:rsidRPr="00DE2405" w:rsidRDefault="00DE2405" w:rsidP="00DE2405">
            <w:pPr>
              <w:rPr>
                <w:rFonts w:eastAsia="Times New Roman"/>
                <w:color w:val="000000"/>
                <w:sz w:val="26"/>
                <w:szCs w:val="26"/>
                <w:lang w:val="en-US"/>
              </w:rPr>
            </w:pPr>
          </w:p>
        </w:tc>
        <w:tc>
          <w:tcPr>
            <w:tcW w:w="0" w:type="auto"/>
            <w:vMerge/>
            <w:vAlign w:val="center"/>
            <w:hideMark/>
          </w:tcPr>
          <w:p w:rsidR="00DE2405" w:rsidRPr="00DE2405" w:rsidRDefault="00DE2405" w:rsidP="00DE2405">
            <w:pPr>
              <w:rPr>
                <w:rFonts w:eastAsia="Times New Roman"/>
                <w:color w:val="000000"/>
                <w:sz w:val="26"/>
                <w:szCs w:val="26"/>
                <w:lang w:val="en-US"/>
              </w:rPr>
            </w:pPr>
          </w:p>
        </w:tc>
      </w:tr>
      <w:tr w:rsidR="00DE2405" w:rsidRPr="00DE2405" w:rsidTr="00B85712">
        <w:tc>
          <w:tcPr>
            <w:tcW w:w="0" w:type="auto"/>
            <w:vMerge/>
            <w:vAlign w:val="center"/>
            <w:hideMark/>
          </w:tcPr>
          <w:p w:rsidR="00DE2405" w:rsidRPr="00DE2405" w:rsidRDefault="00DE2405" w:rsidP="00DE2405">
            <w:pPr>
              <w:rPr>
                <w:rFonts w:eastAsia="Times New Roman"/>
                <w:color w:val="000000"/>
                <w:sz w:val="26"/>
                <w:szCs w:val="26"/>
                <w:lang w:val="en-US"/>
              </w:rPr>
            </w:pPr>
          </w:p>
        </w:tc>
        <w:tc>
          <w:tcPr>
            <w:tcW w:w="0" w:type="auto"/>
            <w:shd w:val="clear" w:color="auto" w:fill="auto"/>
            <w:vAlign w:val="center"/>
            <w:hideMark/>
          </w:tcPr>
          <w:p w:rsidR="00DE2405" w:rsidRPr="00DE2405" w:rsidRDefault="00DE2405" w:rsidP="00B85712">
            <w:pPr>
              <w:jc w:val="both"/>
              <w:rPr>
                <w:rFonts w:eastAsia="Times New Roman"/>
                <w:i/>
                <w:iCs/>
                <w:color w:val="000000"/>
                <w:sz w:val="26"/>
                <w:szCs w:val="26"/>
                <w:lang w:val="en-US"/>
              </w:rPr>
            </w:pPr>
            <w:r w:rsidRPr="00DE2405">
              <w:rPr>
                <w:rFonts w:eastAsia="Times New Roman"/>
                <w:i/>
                <w:iCs/>
                <w:color w:val="000000"/>
                <w:sz w:val="26"/>
                <w:szCs w:val="26"/>
                <w:lang w:val="en-US"/>
              </w:rPr>
              <w:t>Nguồn đối ứng của các đơn vị thụ hưởng</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455</w:t>
            </w:r>
          </w:p>
        </w:tc>
        <w:tc>
          <w:tcPr>
            <w:tcW w:w="0" w:type="auto"/>
            <w:shd w:val="clear" w:color="auto" w:fill="auto"/>
            <w:noWrap/>
            <w:vAlign w:val="center"/>
            <w:hideMark/>
          </w:tcPr>
          <w:p w:rsidR="00DE2405" w:rsidRPr="00DE2405" w:rsidRDefault="00DE2405" w:rsidP="00B85712">
            <w:pPr>
              <w:jc w:val="center"/>
              <w:rPr>
                <w:rFonts w:eastAsia="Times New Roman"/>
                <w:color w:val="000000"/>
                <w:sz w:val="26"/>
                <w:szCs w:val="26"/>
                <w:lang w:val="en-US"/>
              </w:rPr>
            </w:pP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175</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175</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105</w:t>
            </w:r>
          </w:p>
        </w:tc>
        <w:tc>
          <w:tcPr>
            <w:tcW w:w="0" w:type="auto"/>
            <w:vMerge/>
            <w:vAlign w:val="center"/>
            <w:hideMark/>
          </w:tcPr>
          <w:p w:rsidR="00DE2405" w:rsidRPr="00DE2405" w:rsidRDefault="00DE2405" w:rsidP="00DE2405">
            <w:pPr>
              <w:rPr>
                <w:rFonts w:eastAsia="Times New Roman"/>
                <w:color w:val="000000"/>
                <w:sz w:val="26"/>
                <w:szCs w:val="26"/>
                <w:lang w:val="en-US"/>
              </w:rPr>
            </w:pPr>
          </w:p>
        </w:tc>
        <w:tc>
          <w:tcPr>
            <w:tcW w:w="0" w:type="auto"/>
            <w:vMerge/>
            <w:vAlign w:val="center"/>
            <w:hideMark/>
          </w:tcPr>
          <w:p w:rsidR="00DE2405" w:rsidRPr="00DE2405" w:rsidRDefault="00DE2405" w:rsidP="00DE2405">
            <w:pPr>
              <w:rPr>
                <w:rFonts w:eastAsia="Times New Roman"/>
                <w:color w:val="000000"/>
                <w:sz w:val="26"/>
                <w:szCs w:val="26"/>
                <w:lang w:val="en-US"/>
              </w:rPr>
            </w:pPr>
          </w:p>
        </w:tc>
      </w:tr>
      <w:tr w:rsidR="00DE2405" w:rsidRPr="00DE2405" w:rsidTr="00B85712">
        <w:tc>
          <w:tcPr>
            <w:tcW w:w="0" w:type="auto"/>
            <w:shd w:val="clear" w:color="auto" w:fill="auto"/>
            <w:noWrap/>
            <w:vAlign w:val="center"/>
            <w:hideMark/>
          </w:tcPr>
          <w:p w:rsidR="00DE2405" w:rsidRPr="00DE2405" w:rsidRDefault="00DE2405" w:rsidP="00DE2405">
            <w:pPr>
              <w:jc w:val="center"/>
              <w:rPr>
                <w:rFonts w:eastAsia="Times New Roman"/>
                <w:color w:val="000000"/>
                <w:sz w:val="26"/>
                <w:szCs w:val="26"/>
                <w:lang w:val="en-US"/>
              </w:rPr>
            </w:pPr>
            <w:r w:rsidRPr="00DE2405">
              <w:rPr>
                <w:rFonts w:eastAsia="Times New Roman"/>
                <w:color w:val="000000"/>
                <w:sz w:val="26"/>
                <w:szCs w:val="26"/>
                <w:lang w:val="en-US"/>
              </w:rPr>
              <w:t>5</w:t>
            </w:r>
          </w:p>
        </w:tc>
        <w:tc>
          <w:tcPr>
            <w:tcW w:w="0" w:type="auto"/>
            <w:shd w:val="clear" w:color="auto" w:fill="auto"/>
            <w:vAlign w:val="center"/>
            <w:hideMark/>
          </w:tcPr>
          <w:p w:rsidR="00DE2405" w:rsidRPr="00DE2405" w:rsidRDefault="00DE2405" w:rsidP="00B85712">
            <w:pPr>
              <w:jc w:val="both"/>
              <w:rPr>
                <w:rFonts w:eastAsia="Times New Roman"/>
                <w:color w:val="000000"/>
                <w:sz w:val="26"/>
                <w:szCs w:val="26"/>
                <w:lang w:val="en-US"/>
              </w:rPr>
            </w:pPr>
            <w:r w:rsidRPr="00DE2405">
              <w:rPr>
                <w:rFonts w:eastAsia="Times New Roman"/>
                <w:color w:val="000000"/>
                <w:sz w:val="26"/>
                <w:szCs w:val="26"/>
                <w:lang w:val="en-US"/>
              </w:rPr>
              <w:t>Hỗ trợ tư vấn, cung cấp thông tin</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585</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110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120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115</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120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120</w:t>
            </w:r>
          </w:p>
        </w:tc>
        <w:tc>
          <w:tcPr>
            <w:tcW w:w="0" w:type="auto"/>
            <w:shd w:val="clear" w:color="auto" w:fill="auto"/>
            <w:vAlign w:val="center"/>
            <w:hideMark/>
          </w:tcPr>
          <w:p w:rsidR="00DE2405" w:rsidRPr="00DE2405" w:rsidRDefault="00DE2405" w:rsidP="00B85712">
            <w:pPr>
              <w:jc w:val="both"/>
              <w:rPr>
                <w:rFonts w:eastAsia="Times New Roman"/>
                <w:color w:val="000000"/>
                <w:sz w:val="26"/>
                <w:szCs w:val="26"/>
                <w:lang w:val="en-US"/>
              </w:rPr>
            </w:pPr>
            <w:r w:rsidRPr="00DE2405">
              <w:rPr>
                <w:rFonts w:eastAsia="Times New Roman"/>
                <w:color w:val="000000"/>
                <w:sz w:val="26"/>
                <w:szCs w:val="26"/>
                <w:lang w:val="en-US"/>
              </w:rPr>
              <w:t xml:space="preserve"> Thông tư 28/2018/TT-BTC ngày 28/3/2018 của Bộ Tài chính </w:t>
            </w:r>
          </w:p>
        </w:tc>
        <w:tc>
          <w:tcPr>
            <w:tcW w:w="0" w:type="auto"/>
            <w:shd w:val="clear" w:color="auto" w:fill="auto"/>
            <w:vAlign w:val="center"/>
            <w:hideMark/>
          </w:tcPr>
          <w:p w:rsidR="00DE2405" w:rsidRPr="00DE2405" w:rsidRDefault="00DE2405" w:rsidP="00DE2405">
            <w:pPr>
              <w:jc w:val="both"/>
              <w:rPr>
                <w:rFonts w:eastAsia="Times New Roman"/>
                <w:color w:val="000000"/>
                <w:sz w:val="26"/>
                <w:szCs w:val="26"/>
                <w:lang w:val="en-US"/>
              </w:rPr>
            </w:pPr>
            <w:r w:rsidRPr="00DE2405">
              <w:rPr>
                <w:rFonts w:eastAsia="Times New Roman"/>
                <w:color w:val="000000"/>
                <w:sz w:val="26"/>
                <w:szCs w:val="26"/>
                <w:lang w:val="en-US"/>
              </w:rPr>
              <w:t>Hỗ trợ xây dựng 11 chương trình truyền hình, truyền thanh</w:t>
            </w:r>
          </w:p>
        </w:tc>
      </w:tr>
      <w:tr w:rsidR="00DE2405" w:rsidRPr="00DE2405" w:rsidTr="00B85712">
        <w:tc>
          <w:tcPr>
            <w:tcW w:w="0" w:type="auto"/>
            <w:vMerge w:val="restart"/>
            <w:shd w:val="clear" w:color="auto" w:fill="auto"/>
            <w:noWrap/>
            <w:vAlign w:val="center"/>
            <w:hideMark/>
          </w:tcPr>
          <w:p w:rsidR="00DE2405" w:rsidRPr="00DE2405" w:rsidRDefault="00DE2405" w:rsidP="00DE2405">
            <w:pPr>
              <w:jc w:val="center"/>
              <w:rPr>
                <w:rFonts w:eastAsia="Times New Roman"/>
                <w:color w:val="000000"/>
                <w:sz w:val="26"/>
                <w:szCs w:val="26"/>
                <w:lang w:val="en-US"/>
              </w:rPr>
            </w:pPr>
            <w:r w:rsidRPr="00DE2405">
              <w:rPr>
                <w:rFonts w:eastAsia="Times New Roman"/>
                <w:color w:val="000000"/>
                <w:sz w:val="26"/>
                <w:szCs w:val="26"/>
                <w:lang w:val="en-US"/>
              </w:rPr>
              <w:t>6</w:t>
            </w:r>
          </w:p>
        </w:tc>
        <w:tc>
          <w:tcPr>
            <w:tcW w:w="0" w:type="auto"/>
            <w:shd w:val="clear" w:color="auto" w:fill="auto"/>
            <w:vAlign w:val="center"/>
            <w:hideMark/>
          </w:tcPr>
          <w:p w:rsidR="00DE2405" w:rsidRPr="00DE2405" w:rsidRDefault="00DE2405" w:rsidP="00B85712">
            <w:pPr>
              <w:jc w:val="both"/>
              <w:rPr>
                <w:rFonts w:eastAsia="Times New Roman"/>
                <w:color w:val="000000"/>
                <w:sz w:val="26"/>
                <w:szCs w:val="26"/>
                <w:lang w:val="en-US"/>
              </w:rPr>
            </w:pPr>
            <w:r w:rsidRPr="00DE2405">
              <w:rPr>
                <w:rFonts w:eastAsia="Times New Roman"/>
                <w:color w:val="000000"/>
                <w:sz w:val="26"/>
                <w:szCs w:val="26"/>
                <w:lang w:val="en-US"/>
              </w:rPr>
              <w:t>Chương trình hỗ trợ liên doanh, liên kết, hợp tác đầu tư kinh tế, phát triển cụm, điểm công nghiệp và di dời cơ sở gây ô nhiễm môi trường</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11.150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2.800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2.450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1.850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1.850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2.200</w:t>
            </w:r>
          </w:p>
        </w:tc>
        <w:tc>
          <w:tcPr>
            <w:tcW w:w="0" w:type="auto"/>
            <w:vMerge w:val="restart"/>
            <w:shd w:val="clear" w:color="auto" w:fill="auto"/>
            <w:vAlign w:val="center"/>
            <w:hideMark/>
          </w:tcPr>
          <w:p w:rsidR="00DE2405" w:rsidRPr="00DE2405" w:rsidRDefault="00DE2405" w:rsidP="00B85712">
            <w:pPr>
              <w:jc w:val="both"/>
              <w:rPr>
                <w:rFonts w:eastAsia="Times New Roman"/>
                <w:color w:val="000000"/>
                <w:sz w:val="26"/>
                <w:szCs w:val="26"/>
                <w:lang w:val="en-US"/>
              </w:rPr>
            </w:pPr>
            <w:r w:rsidRPr="00DE2405">
              <w:rPr>
                <w:rFonts w:eastAsia="Times New Roman"/>
                <w:color w:val="000000"/>
                <w:sz w:val="26"/>
                <w:szCs w:val="26"/>
                <w:lang w:val="en-US"/>
              </w:rPr>
              <w:t xml:space="preserve"> Nghị quyết số 86/2018/NQ-HĐND ngày 18/7/2018 của HĐND tỉnh Hà Tĩnh </w:t>
            </w:r>
          </w:p>
        </w:tc>
        <w:tc>
          <w:tcPr>
            <w:tcW w:w="0" w:type="auto"/>
            <w:vMerge w:val="restart"/>
            <w:shd w:val="clear" w:color="auto" w:fill="auto"/>
            <w:vAlign w:val="center"/>
            <w:hideMark/>
          </w:tcPr>
          <w:p w:rsidR="00DE2405" w:rsidRPr="00DE2405" w:rsidRDefault="00DE2405" w:rsidP="00DE2405">
            <w:pPr>
              <w:jc w:val="both"/>
              <w:rPr>
                <w:rFonts w:eastAsia="Times New Roman"/>
                <w:color w:val="000000"/>
                <w:sz w:val="26"/>
                <w:szCs w:val="26"/>
                <w:lang w:val="en-US"/>
              </w:rPr>
            </w:pPr>
            <w:r w:rsidRPr="00DE2405">
              <w:rPr>
                <w:rFonts w:eastAsia="Times New Roman"/>
                <w:color w:val="000000"/>
                <w:sz w:val="26"/>
                <w:szCs w:val="26"/>
                <w:lang w:val="en-US"/>
              </w:rPr>
              <w:t>Hỗ trợ lập quy hoạch chi tiết cho 04 cụm công nghiệp; hỗ trợ 10 cơ sở sửa chữa, nâng cấp hệ thống xử lý ô nhiễm môi trường; hỗ trợ 03 cụm chi phí tư vấn lập báo cáo đầu tư thành lập, mở rộng cụm công nghiệp, hỗ trợ lãi suất vốn vay cho các cơ sở CNNT gây ô nhiễm môi trường di dời vào KCN, CCN</w:t>
            </w:r>
          </w:p>
        </w:tc>
      </w:tr>
      <w:tr w:rsidR="00DE2405" w:rsidRPr="00DE2405" w:rsidTr="00B85712">
        <w:tc>
          <w:tcPr>
            <w:tcW w:w="0" w:type="auto"/>
            <w:vMerge/>
            <w:vAlign w:val="center"/>
            <w:hideMark/>
          </w:tcPr>
          <w:p w:rsidR="00DE2405" w:rsidRPr="00DE2405" w:rsidRDefault="00DE2405" w:rsidP="00DE2405">
            <w:pPr>
              <w:rPr>
                <w:rFonts w:eastAsia="Times New Roman"/>
                <w:color w:val="000000"/>
                <w:sz w:val="26"/>
                <w:szCs w:val="26"/>
                <w:lang w:val="en-US"/>
              </w:rPr>
            </w:pPr>
          </w:p>
        </w:tc>
        <w:tc>
          <w:tcPr>
            <w:tcW w:w="0" w:type="auto"/>
            <w:shd w:val="clear" w:color="auto" w:fill="auto"/>
            <w:vAlign w:val="center"/>
            <w:hideMark/>
          </w:tcPr>
          <w:p w:rsidR="00DE2405" w:rsidRPr="00DE2405" w:rsidRDefault="00DE2405" w:rsidP="00B85712">
            <w:pPr>
              <w:jc w:val="both"/>
              <w:rPr>
                <w:rFonts w:eastAsia="Times New Roman"/>
                <w:i/>
                <w:iCs/>
                <w:color w:val="000000"/>
                <w:sz w:val="26"/>
                <w:szCs w:val="26"/>
                <w:lang w:val="en-US"/>
              </w:rPr>
            </w:pPr>
            <w:r w:rsidRPr="00DE2405">
              <w:rPr>
                <w:rFonts w:eastAsia="Times New Roman"/>
                <w:i/>
                <w:iCs/>
                <w:color w:val="000000"/>
                <w:sz w:val="26"/>
                <w:szCs w:val="26"/>
                <w:lang w:val="en-US"/>
              </w:rPr>
              <w:t>Chia ra: Ngân sách hỗ trợ thực hiện</w:t>
            </w:r>
          </w:p>
        </w:tc>
        <w:tc>
          <w:tcPr>
            <w:tcW w:w="0" w:type="auto"/>
            <w:shd w:val="clear" w:color="auto" w:fill="auto"/>
            <w:vAlign w:val="center"/>
            <w:hideMark/>
          </w:tcPr>
          <w:p w:rsidR="00DE2405" w:rsidRPr="00DE2405" w:rsidRDefault="00DE2405" w:rsidP="00B85712">
            <w:pPr>
              <w:jc w:val="center"/>
              <w:rPr>
                <w:rFonts w:eastAsia="Times New Roman"/>
                <w:i/>
                <w:iCs/>
                <w:color w:val="000000"/>
                <w:sz w:val="26"/>
                <w:szCs w:val="26"/>
                <w:lang w:val="en-US"/>
              </w:rPr>
            </w:pPr>
            <w:r w:rsidRPr="00DE2405">
              <w:rPr>
                <w:rFonts w:eastAsia="Times New Roman"/>
                <w:i/>
                <w:iCs/>
                <w:color w:val="000000"/>
                <w:sz w:val="26"/>
                <w:szCs w:val="26"/>
                <w:lang w:val="en-US"/>
              </w:rPr>
              <w:t>4.750</w:t>
            </w:r>
          </w:p>
        </w:tc>
        <w:tc>
          <w:tcPr>
            <w:tcW w:w="0" w:type="auto"/>
            <w:shd w:val="clear" w:color="auto" w:fill="auto"/>
            <w:vAlign w:val="center"/>
            <w:hideMark/>
          </w:tcPr>
          <w:p w:rsidR="00DE2405" w:rsidRPr="00DE2405" w:rsidRDefault="00DE2405" w:rsidP="00B85712">
            <w:pPr>
              <w:jc w:val="center"/>
              <w:rPr>
                <w:rFonts w:eastAsia="Times New Roman"/>
                <w:i/>
                <w:iCs/>
                <w:sz w:val="26"/>
                <w:szCs w:val="26"/>
                <w:lang w:val="en-US"/>
              </w:rPr>
            </w:pPr>
            <w:r w:rsidRPr="00DE2405">
              <w:rPr>
                <w:rFonts w:eastAsia="Times New Roman"/>
                <w:i/>
                <w:iCs/>
                <w:sz w:val="26"/>
                <w:szCs w:val="26"/>
                <w:lang w:val="en-US"/>
              </w:rPr>
              <w:t>750</w:t>
            </w:r>
          </w:p>
        </w:tc>
        <w:tc>
          <w:tcPr>
            <w:tcW w:w="0" w:type="auto"/>
            <w:shd w:val="clear" w:color="auto" w:fill="auto"/>
            <w:vAlign w:val="center"/>
            <w:hideMark/>
          </w:tcPr>
          <w:p w:rsidR="00DE2405" w:rsidRPr="00DE2405" w:rsidRDefault="00DE2405" w:rsidP="00B85712">
            <w:pPr>
              <w:jc w:val="center"/>
              <w:rPr>
                <w:rFonts w:eastAsia="Times New Roman"/>
                <w:i/>
                <w:iCs/>
                <w:sz w:val="26"/>
                <w:szCs w:val="26"/>
                <w:lang w:val="en-US"/>
              </w:rPr>
            </w:pPr>
            <w:r w:rsidRPr="00DE2405">
              <w:rPr>
                <w:rFonts w:eastAsia="Times New Roman"/>
                <w:i/>
                <w:iCs/>
                <w:sz w:val="26"/>
                <w:szCs w:val="26"/>
                <w:lang w:val="en-US"/>
              </w:rPr>
              <w:t>750</w:t>
            </w:r>
          </w:p>
        </w:tc>
        <w:tc>
          <w:tcPr>
            <w:tcW w:w="0" w:type="auto"/>
            <w:shd w:val="clear" w:color="auto" w:fill="auto"/>
            <w:vAlign w:val="center"/>
            <w:hideMark/>
          </w:tcPr>
          <w:p w:rsidR="00DE2405" w:rsidRPr="00DE2405" w:rsidRDefault="00DE2405" w:rsidP="00B85712">
            <w:pPr>
              <w:jc w:val="center"/>
              <w:rPr>
                <w:rFonts w:eastAsia="Times New Roman"/>
                <w:i/>
                <w:iCs/>
                <w:sz w:val="26"/>
                <w:szCs w:val="26"/>
                <w:lang w:val="en-US"/>
              </w:rPr>
            </w:pPr>
            <w:r w:rsidRPr="00DE2405">
              <w:rPr>
                <w:rFonts w:eastAsia="Times New Roman"/>
                <w:i/>
                <w:iCs/>
                <w:sz w:val="26"/>
                <w:szCs w:val="26"/>
                <w:lang w:val="en-US"/>
              </w:rPr>
              <w:t>950</w:t>
            </w:r>
          </w:p>
        </w:tc>
        <w:tc>
          <w:tcPr>
            <w:tcW w:w="0" w:type="auto"/>
            <w:shd w:val="clear" w:color="auto" w:fill="auto"/>
            <w:vAlign w:val="center"/>
            <w:hideMark/>
          </w:tcPr>
          <w:p w:rsidR="00DE2405" w:rsidRPr="00DE2405" w:rsidRDefault="00DE2405" w:rsidP="00B85712">
            <w:pPr>
              <w:jc w:val="center"/>
              <w:rPr>
                <w:rFonts w:eastAsia="Times New Roman"/>
                <w:i/>
                <w:iCs/>
                <w:sz w:val="26"/>
                <w:szCs w:val="26"/>
                <w:lang w:val="en-US"/>
              </w:rPr>
            </w:pPr>
            <w:r w:rsidRPr="00DE2405">
              <w:rPr>
                <w:rFonts w:eastAsia="Times New Roman"/>
                <w:i/>
                <w:iCs/>
                <w:sz w:val="26"/>
                <w:szCs w:val="26"/>
                <w:lang w:val="en-US"/>
              </w:rPr>
              <w:t>1.000</w:t>
            </w:r>
          </w:p>
        </w:tc>
        <w:tc>
          <w:tcPr>
            <w:tcW w:w="0" w:type="auto"/>
            <w:shd w:val="clear" w:color="auto" w:fill="auto"/>
            <w:vAlign w:val="center"/>
            <w:hideMark/>
          </w:tcPr>
          <w:p w:rsidR="00DE2405" w:rsidRPr="00DE2405" w:rsidRDefault="00DE2405" w:rsidP="00B85712">
            <w:pPr>
              <w:jc w:val="center"/>
              <w:rPr>
                <w:rFonts w:eastAsia="Times New Roman"/>
                <w:i/>
                <w:iCs/>
                <w:sz w:val="26"/>
                <w:szCs w:val="26"/>
                <w:lang w:val="en-US"/>
              </w:rPr>
            </w:pPr>
            <w:r w:rsidRPr="00DE2405">
              <w:rPr>
                <w:rFonts w:eastAsia="Times New Roman"/>
                <w:i/>
                <w:iCs/>
                <w:sz w:val="26"/>
                <w:szCs w:val="26"/>
                <w:lang w:val="en-US"/>
              </w:rPr>
              <w:t>1.300</w:t>
            </w:r>
          </w:p>
        </w:tc>
        <w:tc>
          <w:tcPr>
            <w:tcW w:w="0" w:type="auto"/>
            <w:vMerge/>
            <w:vAlign w:val="center"/>
            <w:hideMark/>
          </w:tcPr>
          <w:p w:rsidR="00DE2405" w:rsidRPr="00DE2405" w:rsidRDefault="00DE2405" w:rsidP="00DE2405">
            <w:pPr>
              <w:rPr>
                <w:rFonts w:eastAsia="Times New Roman"/>
                <w:color w:val="000000"/>
                <w:sz w:val="26"/>
                <w:szCs w:val="26"/>
                <w:lang w:val="en-US"/>
              </w:rPr>
            </w:pPr>
          </w:p>
        </w:tc>
        <w:tc>
          <w:tcPr>
            <w:tcW w:w="0" w:type="auto"/>
            <w:vMerge/>
            <w:vAlign w:val="center"/>
            <w:hideMark/>
          </w:tcPr>
          <w:p w:rsidR="00DE2405" w:rsidRPr="00DE2405" w:rsidRDefault="00DE2405" w:rsidP="00DE2405">
            <w:pPr>
              <w:rPr>
                <w:rFonts w:eastAsia="Times New Roman"/>
                <w:color w:val="000000"/>
                <w:sz w:val="26"/>
                <w:szCs w:val="26"/>
                <w:lang w:val="en-US"/>
              </w:rPr>
            </w:pPr>
          </w:p>
        </w:tc>
      </w:tr>
      <w:tr w:rsidR="00DE2405" w:rsidRPr="00DE2405" w:rsidTr="00B85712">
        <w:tc>
          <w:tcPr>
            <w:tcW w:w="0" w:type="auto"/>
            <w:vMerge/>
            <w:vAlign w:val="center"/>
            <w:hideMark/>
          </w:tcPr>
          <w:p w:rsidR="00DE2405" w:rsidRPr="00DE2405" w:rsidRDefault="00DE2405" w:rsidP="00DE2405">
            <w:pPr>
              <w:rPr>
                <w:rFonts w:eastAsia="Times New Roman"/>
                <w:color w:val="000000"/>
                <w:sz w:val="26"/>
                <w:szCs w:val="26"/>
                <w:lang w:val="en-US"/>
              </w:rPr>
            </w:pPr>
          </w:p>
        </w:tc>
        <w:tc>
          <w:tcPr>
            <w:tcW w:w="0" w:type="auto"/>
            <w:shd w:val="clear" w:color="auto" w:fill="auto"/>
            <w:vAlign w:val="center"/>
            <w:hideMark/>
          </w:tcPr>
          <w:p w:rsidR="00DE2405" w:rsidRPr="00DE2405" w:rsidRDefault="00DE2405" w:rsidP="00B85712">
            <w:pPr>
              <w:jc w:val="both"/>
              <w:rPr>
                <w:rFonts w:eastAsia="Times New Roman"/>
                <w:i/>
                <w:iCs/>
                <w:color w:val="000000"/>
                <w:sz w:val="26"/>
                <w:szCs w:val="26"/>
                <w:lang w:val="en-US"/>
              </w:rPr>
            </w:pPr>
            <w:r w:rsidRPr="00DE2405">
              <w:rPr>
                <w:rFonts w:eastAsia="Times New Roman"/>
                <w:i/>
                <w:iCs/>
                <w:color w:val="000000"/>
                <w:sz w:val="26"/>
                <w:szCs w:val="26"/>
                <w:lang w:val="en-US"/>
              </w:rPr>
              <w:t>Nguồn đối ứng của các đơn vị thụ hưởng</w:t>
            </w:r>
          </w:p>
        </w:tc>
        <w:tc>
          <w:tcPr>
            <w:tcW w:w="0" w:type="auto"/>
            <w:shd w:val="clear" w:color="auto" w:fill="auto"/>
            <w:vAlign w:val="center"/>
            <w:hideMark/>
          </w:tcPr>
          <w:p w:rsidR="00DE2405" w:rsidRPr="00DE2405" w:rsidRDefault="00DE2405" w:rsidP="00B85712">
            <w:pPr>
              <w:jc w:val="center"/>
              <w:rPr>
                <w:rFonts w:eastAsia="Times New Roman"/>
                <w:i/>
                <w:iCs/>
                <w:color w:val="000000"/>
                <w:sz w:val="26"/>
                <w:szCs w:val="26"/>
                <w:lang w:val="en-US"/>
              </w:rPr>
            </w:pPr>
            <w:r w:rsidRPr="00DE2405">
              <w:rPr>
                <w:rFonts w:eastAsia="Times New Roman"/>
                <w:i/>
                <w:iCs/>
                <w:color w:val="000000"/>
                <w:sz w:val="26"/>
                <w:szCs w:val="26"/>
                <w:lang w:val="en-US"/>
              </w:rPr>
              <w:t>6.400</w:t>
            </w:r>
          </w:p>
        </w:tc>
        <w:tc>
          <w:tcPr>
            <w:tcW w:w="0" w:type="auto"/>
            <w:shd w:val="clear" w:color="auto" w:fill="auto"/>
            <w:vAlign w:val="center"/>
            <w:hideMark/>
          </w:tcPr>
          <w:p w:rsidR="00DE2405" w:rsidRPr="00DE2405" w:rsidRDefault="00DE2405" w:rsidP="00B85712">
            <w:pPr>
              <w:jc w:val="center"/>
              <w:rPr>
                <w:rFonts w:eastAsia="Times New Roman"/>
                <w:i/>
                <w:iCs/>
                <w:sz w:val="26"/>
                <w:szCs w:val="26"/>
                <w:lang w:val="en-US"/>
              </w:rPr>
            </w:pPr>
            <w:r w:rsidRPr="00DE2405">
              <w:rPr>
                <w:rFonts w:eastAsia="Times New Roman"/>
                <w:i/>
                <w:iCs/>
                <w:sz w:val="26"/>
                <w:szCs w:val="26"/>
                <w:lang w:val="en-US"/>
              </w:rPr>
              <w:t>2.050</w:t>
            </w:r>
          </w:p>
        </w:tc>
        <w:tc>
          <w:tcPr>
            <w:tcW w:w="0" w:type="auto"/>
            <w:shd w:val="clear" w:color="auto" w:fill="auto"/>
            <w:noWrap/>
            <w:vAlign w:val="center"/>
            <w:hideMark/>
          </w:tcPr>
          <w:p w:rsidR="00DE2405" w:rsidRPr="00DE2405" w:rsidRDefault="00DE2405" w:rsidP="00B85712">
            <w:pPr>
              <w:jc w:val="center"/>
              <w:rPr>
                <w:rFonts w:eastAsia="Times New Roman"/>
                <w:i/>
                <w:iCs/>
                <w:sz w:val="26"/>
                <w:szCs w:val="26"/>
                <w:lang w:val="en-US"/>
              </w:rPr>
            </w:pPr>
            <w:r w:rsidRPr="00DE2405">
              <w:rPr>
                <w:rFonts w:eastAsia="Times New Roman"/>
                <w:i/>
                <w:iCs/>
                <w:sz w:val="26"/>
                <w:szCs w:val="26"/>
                <w:lang w:val="en-US"/>
              </w:rPr>
              <w:t>1.700</w:t>
            </w:r>
          </w:p>
        </w:tc>
        <w:tc>
          <w:tcPr>
            <w:tcW w:w="0" w:type="auto"/>
            <w:shd w:val="clear" w:color="auto" w:fill="auto"/>
            <w:vAlign w:val="center"/>
            <w:hideMark/>
          </w:tcPr>
          <w:p w:rsidR="00DE2405" w:rsidRPr="00DE2405" w:rsidRDefault="00DE2405" w:rsidP="00B85712">
            <w:pPr>
              <w:jc w:val="center"/>
              <w:rPr>
                <w:rFonts w:eastAsia="Times New Roman"/>
                <w:i/>
                <w:iCs/>
                <w:sz w:val="26"/>
                <w:szCs w:val="26"/>
                <w:lang w:val="en-US"/>
              </w:rPr>
            </w:pPr>
            <w:r w:rsidRPr="00DE2405">
              <w:rPr>
                <w:rFonts w:eastAsia="Times New Roman"/>
                <w:i/>
                <w:iCs/>
                <w:sz w:val="26"/>
                <w:szCs w:val="26"/>
                <w:lang w:val="en-US"/>
              </w:rPr>
              <w:t>900</w:t>
            </w:r>
          </w:p>
        </w:tc>
        <w:tc>
          <w:tcPr>
            <w:tcW w:w="0" w:type="auto"/>
            <w:shd w:val="clear" w:color="auto" w:fill="auto"/>
            <w:noWrap/>
            <w:vAlign w:val="center"/>
            <w:hideMark/>
          </w:tcPr>
          <w:p w:rsidR="00DE2405" w:rsidRPr="00DE2405" w:rsidRDefault="00DE2405" w:rsidP="00B85712">
            <w:pPr>
              <w:jc w:val="center"/>
              <w:rPr>
                <w:rFonts w:eastAsia="Times New Roman"/>
                <w:i/>
                <w:iCs/>
                <w:sz w:val="26"/>
                <w:szCs w:val="26"/>
                <w:lang w:val="en-US"/>
              </w:rPr>
            </w:pPr>
            <w:r w:rsidRPr="00DE2405">
              <w:rPr>
                <w:rFonts w:eastAsia="Times New Roman"/>
                <w:i/>
                <w:iCs/>
                <w:sz w:val="26"/>
                <w:szCs w:val="26"/>
                <w:lang w:val="en-US"/>
              </w:rPr>
              <w:t>850</w:t>
            </w:r>
          </w:p>
        </w:tc>
        <w:tc>
          <w:tcPr>
            <w:tcW w:w="0" w:type="auto"/>
            <w:shd w:val="clear" w:color="auto" w:fill="auto"/>
            <w:vAlign w:val="center"/>
            <w:hideMark/>
          </w:tcPr>
          <w:p w:rsidR="00DE2405" w:rsidRPr="00DE2405" w:rsidRDefault="00DE2405" w:rsidP="00B85712">
            <w:pPr>
              <w:jc w:val="center"/>
              <w:rPr>
                <w:rFonts w:eastAsia="Times New Roman"/>
                <w:i/>
                <w:iCs/>
                <w:sz w:val="26"/>
                <w:szCs w:val="26"/>
                <w:lang w:val="en-US"/>
              </w:rPr>
            </w:pPr>
            <w:r w:rsidRPr="00DE2405">
              <w:rPr>
                <w:rFonts w:eastAsia="Times New Roman"/>
                <w:i/>
                <w:iCs/>
                <w:sz w:val="26"/>
                <w:szCs w:val="26"/>
                <w:lang w:val="en-US"/>
              </w:rPr>
              <w:t>900</w:t>
            </w:r>
          </w:p>
        </w:tc>
        <w:tc>
          <w:tcPr>
            <w:tcW w:w="0" w:type="auto"/>
            <w:vMerge/>
            <w:vAlign w:val="center"/>
            <w:hideMark/>
          </w:tcPr>
          <w:p w:rsidR="00DE2405" w:rsidRPr="00DE2405" w:rsidRDefault="00DE2405" w:rsidP="00DE2405">
            <w:pPr>
              <w:rPr>
                <w:rFonts w:eastAsia="Times New Roman"/>
                <w:color w:val="000000"/>
                <w:sz w:val="26"/>
                <w:szCs w:val="26"/>
                <w:lang w:val="en-US"/>
              </w:rPr>
            </w:pPr>
          </w:p>
        </w:tc>
        <w:tc>
          <w:tcPr>
            <w:tcW w:w="0" w:type="auto"/>
            <w:vMerge/>
            <w:vAlign w:val="center"/>
            <w:hideMark/>
          </w:tcPr>
          <w:p w:rsidR="00DE2405" w:rsidRPr="00DE2405" w:rsidRDefault="00DE2405" w:rsidP="00DE2405">
            <w:pPr>
              <w:rPr>
                <w:rFonts w:eastAsia="Times New Roman"/>
                <w:color w:val="000000"/>
                <w:sz w:val="26"/>
                <w:szCs w:val="26"/>
                <w:lang w:val="en-US"/>
              </w:rPr>
            </w:pPr>
          </w:p>
        </w:tc>
      </w:tr>
      <w:tr w:rsidR="00DE2405" w:rsidRPr="00DE2405" w:rsidTr="00B85712">
        <w:tc>
          <w:tcPr>
            <w:tcW w:w="0" w:type="auto"/>
            <w:shd w:val="clear" w:color="auto" w:fill="auto"/>
            <w:noWrap/>
            <w:vAlign w:val="center"/>
            <w:hideMark/>
          </w:tcPr>
          <w:p w:rsidR="00DE2405" w:rsidRPr="00DE2405" w:rsidRDefault="00DE2405" w:rsidP="00DE2405">
            <w:pPr>
              <w:jc w:val="center"/>
              <w:rPr>
                <w:rFonts w:eastAsia="Times New Roman"/>
                <w:color w:val="000000"/>
                <w:sz w:val="26"/>
                <w:szCs w:val="26"/>
                <w:lang w:val="en-US"/>
              </w:rPr>
            </w:pPr>
            <w:r w:rsidRPr="00DE2405">
              <w:rPr>
                <w:rFonts w:eastAsia="Times New Roman"/>
                <w:color w:val="000000"/>
                <w:sz w:val="26"/>
                <w:szCs w:val="26"/>
                <w:lang w:val="en-US"/>
              </w:rPr>
              <w:lastRenderedPageBreak/>
              <w:t>7</w:t>
            </w:r>
          </w:p>
        </w:tc>
        <w:tc>
          <w:tcPr>
            <w:tcW w:w="0" w:type="auto"/>
            <w:shd w:val="clear" w:color="auto" w:fill="auto"/>
            <w:vAlign w:val="center"/>
            <w:hideMark/>
          </w:tcPr>
          <w:p w:rsidR="00DE2405" w:rsidRPr="00DE2405" w:rsidRDefault="00DE2405" w:rsidP="00B85712">
            <w:pPr>
              <w:jc w:val="both"/>
              <w:rPr>
                <w:rFonts w:eastAsia="Times New Roman"/>
                <w:color w:val="000000"/>
                <w:sz w:val="26"/>
                <w:szCs w:val="26"/>
                <w:lang w:val="en-US"/>
              </w:rPr>
            </w:pPr>
            <w:r w:rsidRPr="00DE2405">
              <w:rPr>
                <w:rFonts w:eastAsia="Times New Roman"/>
                <w:color w:val="000000"/>
                <w:sz w:val="26"/>
                <w:szCs w:val="26"/>
                <w:lang w:val="en-US"/>
              </w:rPr>
              <w:t>Nâng cao năng lực quản lý, thành lập và năng lực tổ chức thực hiện các hoạt động khuyến công</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1.450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180</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285</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285</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275</w:t>
            </w:r>
          </w:p>
        </w:tc>
        <w:tc>
          <w:tcPr>
            <w:tcW w:w="0" w:type="auto"/>
            <w:shd w:val="clear" w:color="auto" w:fill="auto"/>
            <w:vAlign w:val="center"/>
            <w:hideMark/>
          </w:tcPr>
          <w:p w:rsidR="00DE2405" w:rsidRPr="00DE2405" w:rsidRDefault="00DE2405" w:rsidP="00B85712">
            <w:pPr>
              <w:jc w:val="center"/>
              <w:rPr>
                <w:rFonts w:eastAsia="Times New Roman"/>
                <w:color w:val="000000"/>
                <w:sz w:val="26"/>
                <w:szCs w:val="26"/>
                <w:lang w:val="en-US"/>
              </w:rPr>
            </w:pPr>
            <w:r w:rsidRPr="00DE2405">
              <w:rPr>
                <w:rFonts w:eastAsia="Times New Roman"/>
                <w:color w:val="000000"/>
                <w:sz w:val="26"/>
                <w:szCs w:val="26"/>
                <w:lang w:val="en-US"/>
              </w:rPr>
              <w:t>425</w:t>
            </w:r>
          </w:p>
        </w:tc>
        <w:tc>
          <w:tcPr>
            <w:tcW w:w="0" w:type="auto"/>
            <w:shd w:val="clear" w:color="auto" w:fill="auto"/>
            <w:vAlign w:val="center"/>
            <w:hideMark/>
          </w:tcPr>
          <w:p w:rsidR="00DE2405" w:rsidRPr="00DE2405" w:rsidRDefault="00DE2405" w:rsidP="00B85712">
            <w:pPr>
              <w:jc w:val="both"/>
              <w:rPr>
                <w:rFonts w:eastAsia="Times New Roman"/>
                <w:color w:val="000000"/>
                <w:sz w:val="26"/>
                <w:szCs w:val="26"/>
                <w:lang w:val="en-US"/>
              </w:rPr>
            </w:pPr>
            <w:r w:rsidRPr="00DE2405">
              <w:rPr>
                <w:rFonts w:eastAsia="Times New Roman"/>
                <w:color w:val="000000"/>
                <w:sz w:val="26"/>
                <w:szCs w:val="26"/>
                <w:lang w:val="en-US"/>
              </w:rPr>
              <w:t xml:space="preserve"> Thông tư số 28/2018/TT-BTC ngày 28/3/2018 và Thông tư số 40/2017/TT-BTC ngày 28/4/2017 của Bộ Tài chính </w:t>
            </w:r>
          </w:p>
        </w:tc>
        <w:tc>
          <w:tcPr>
            <w:tcW w:w="0" w:type="auto"/>
            <w:shd w:val="clear" w:color="auto" w:fill="auto"/>
            <w:vAlign w:val="center"/>
            <w:hideMark/>
          </w:tcPr>
          <w:p w:rsidR="00DE2405" w:rsidRPr="00DE2405" w:rsidRDefault="00DE2405" w:rsidP="00DE2405">
            <w:pPr>
              <w:jc w:val="both"/>
              <w:rPr>
                <w:rFonts w:eastAsia="Times New Roman"/>
                <w:color w:val="000000"/>
                <w:sz w:val="26"/>
                <w:szCs w:val="26"/>
                <w:lang w:val="en-US"/>
              </w:rPr>
            </w:pPr>
            <w:r w:rsidRPr="00DE2405">
              <w:rPr>
                <w:rFonts w:eastAsia="Times New Roman"/>
                <w:color w:val="000000"/>
                <w:sz w:val="26"/>
                <w:szCs w:val="26"/>
                <w:lang w:val="en-US"/>
              </w:rPr>
              <w:t>Hỗ trợ tổ chức 03 lớp tập huấn nghiệp vụ khuyến công; tổ chức 03 đoàn học tập kinh nghiệm hoạt động khuyến công trong nước; kinh phí kiểm tra, giám sát hướng dẫn triển khai thực hiện chương trình, kế hoạch, đề án khuyến công; Chi kiểm tra, giám sát hướng dẫn triển khai thực hiện chương trình, kế hoạch, đề án khuyến công hàng năm và chi tổng kết, khen thưởng giai đoạn.</w:t>
            </w:r>
          </w:p>
        </w:tc>
      </w:tr>
      <w:tr w:rsidR="00DE2405" w:rsidRPr="00DE2405" w:rsidTr="00B85712">
        <w:tc>
          <w:tcPr>
            <w:tcW w:w="0" w:type="auto"/>
            <w:shd w:val="clear" w:color="auto" w:fill="auto"/>
            <w:noWrap/>
            <w:vAlign w:val="center"/>
            <w:hideMark/>
          </w:tcPr>
          <w:p w:rsidR="00DE2405" w:rsidRPr="00DE2405" w:rsidRDefault="00DE2405" w:rsidP="00DE2405">
            <w:pPr>
              <w:jc w:val="center"/>
              <w:rPr>
                <w:rFonts w:eastAsia="Times New Roman"/>
                <w:b/>
                <w:bCs/>
                <w:color w:val="000000"/>
                <w:sz w:val="26"/>
                <w:szCs w:val="26"/>
                <w:lang w:val="en-US"/>
              </w:rPr>
            </w:pPr>
            <w:r w:rsidRPr="00DE2405">
              <w:rPr>
                <w:rFonts w:eastAsia="Times New Roman"/>
                <w:b/>
                <w:bCs/>
                <w:color w:val="000000"/>
                <w:sz w:val="26"/>
                <w:szCs w:val="26"/>
                <w:lang w:val="en-US"/>
              </w:rPr>
              <w:t> </w:t>
            </w:r>
          </w:p>
        </w:tc>
        <w:tc>
          <w:tcPr>
            <w:tcW w:w="0" w:type="auto"/>
            <w:shd w:val="clear" w:color="auto" w:fill="auto"/>
            <w:noWrap/>
            <w:vAlign w:val="center"/>
            <w:hideMark/>
          </w:tcPr>
          <w:p w:rsidR="00DE2405" w:rsidRPr="00DE2405" w:rsidRDefault="00DE2405" w:rsidP="00B85712">
            <w:pPr>
              <w:jc w:val="both"/>
              <w:rPr>
                <w:rFonts w:eastAsia="Times New Roman"/>
                <w:b/>
                <w:bCs/>
                <w:color w:val="000000"/>
                <w:sz w:val="26"/>
                <w:szCs w:val="26"/>
                <w:lang w:val="en-US"/>
              </w:rPr>
            </w:pPr>
            <w:r w:rsidRPr="00DE2405">
              <w:rPr>
                <w:rFonts w:eastAsia="Times New Roman"/>
                <w:b/>
                <w:bCs/>
                <w:color w:val="000000"/>
                <w:sz w:val="26"/>
                <w:szCs w:val="26"/>
                <w:lang w:val="en-US"/>
              </w:rPr>
              <w:t>Tổng cộng</w:t>
            </w:r>
          </w:p>
        </w:tc>
        <w:tc>
          <w:tcPr>
            <w:tcW w:w="0" w:type="auto"/>
            <w:shd w:val="clear" w:color="auto" w:fill="auto"/>
            <w:vAlign w:val="center"/>
            <w:hideMark/>
          </w:tcPr>
          <w:p w:rsidR="00DE2405" w:rsidRPr="00DE2405" w:rsidRDefault="00DE2405" w:rsidP="00B85712">
            <w:pPr>
              <w:jc w:val="center"/>
              <w:rPr>
                <w:rFonts w:eastAsia="Times New Roman"/>
                <w:b/>
                <w:bCs/>
                <w:color w:val="000000"/>
                <w:sz w:val="26"/>
                <w:szCs w:val="26"/>
                <w:lang w:val="en-US"/>
              </w:rPr>
            </w:pPr>
            <w:r w:rsidRPr="00DE2405">
              <w:rPr>
                <w:rFonts w:eastAsia="Times New Roman"/>
                <w:b/>
                <w:bCs/>
                <w:color w:val="000000"/>
                <w:sz w:val="26"/>
                <w:szCs w:val="26"/>
                <w:lang w:val="en-US"/>
              </w:rPr>
              <w:t>62.765</w:t>
            </w:r>
          </w:p>
        </w:tc>
        <w:tc>
          <w:tcPr>
            <w:tcW w:w="0" w:type="auto"/>
            <w:shd w:val="clear" w:color="auto" w:fill="auto"/>
            <w:vAlign w:val="center"/>
            <w:hideMark/>
          </w:tcPr>
          <w:p w:rsidR="00DE2405" w:rsidRPr="00DE2405" w:rsidRDefault="00DE2405" w:rsidP="00B85712">
            <w:pPr>
              <w:jc w:val="center"/>
              <w:rPr>
                <w:rFonts w:eastAsia="Times New Roman"/>
                <w:b/>
                <w:bCs/>
                <w:color w:val="000000"/>
                <w:sz w:val="26"/>
                <w:szCs w:val="26"/>
                <w:lang w:val="en-US"/>
              </w:rPr>
            </w:pPr>
            <w:r w:rsidRPr="00DE2405">
              <w:rPr>
                <w:rFonts w:eastAsia="Times New Roman"/>
                <w:b/>
                <w:bCs/>
                <w:color w:val="000000"/>
                <w:sz w:val="26"/>
                <w:szCs w:val="26"/>
                <w:lang w:val="en-US"/>
              </w:rPr>
              <w:t>11.578</w:t>
            </w:r>
          </w:p>
        </w:tc>
        <w:tc>
          <w:tcPr>
            <w:tcW w:w="0" w:type="auto"/>
            <w:shd w:val="clear" w:color="auto" w:fill="auto"/>
            <w:vAlign w:val="center"/>
            <w:hideMark/>
          </w:tcPr>
          <w:p w:rsidR="00DE2405" w:rsidRPr="00DE2405" w:rsidRDefault="00DE2405" w:rsidP="00B85712">
            <w:pPr>
              <w:jc w:val="center"/>
              <w:rPr>
                <w:rFonts w:eastAsia="Times New Roman"/>
                <w:b/>
                <w:bCs/>
                <w:color w:val="000000"/>
                <w:sz w:val="26"/>
                <w:szCs w:val="26"/>
                <w:lang w:val="en-US"/>
              </w:rPr>
            </w:pPr>
            <w:r w:rsidRPr="00DE2405">
              <w:rPr>
                <w:rFonts w:eastAsia="Times New Roman"/>
                <w:b/>
                <w:bCs/>
                <w:color w:val="000000"/>
                <w:sz w:val="26"/>
                <w:szCs w:val="26"/>
                <w:lang w:val="en-US"/>
              </w:rPr>
              <w:t>13.123</w:t>
            </w:r>
          </w:p>
        </w:tc>
        <w:tc>
          <w:tcPr>
            <w:tcW w:w="0" w:type="auto"/>
            <w:shd w:val="clear" w:color="auto" w:fill="auto"/>
            <w:vAlign w:val="center"/>
            <w:hideMark/>
          </w:tcPr>
          <w:p w:rsidR="00DE2405" w:rsidRPr="00DE2405" w:rsidRDefault="00DE2405" w:rsidP="00B85712">
            <w:pPr>
              <w:jc w:val="center"/>
              <w:rPr>
                <w:rFonts w:eastAsia="Times New Roman"/>
                <w:b/>
                <w:bCs/>
                <w:color w:val="000000"/>
                <w:sz w:val="26"/>
                <w:szCs w:val="26"/>
                <w:lang w:val="en-US"/>
              </w:rPr>
            </w:pPr>
            <w:r w:rsidRPr="00DE2405">
              <w:rPr>
                <w:rFonts w:eastAsia="Times New Roman"/>
                <w:b/>
                <w:bCs/>
                <w:color w:val="000000"/>
                <w:sz w:val="26"/>
                <w:szCs w:val="26"/>
                <w:lang w:val="en-US"/>
              </w:rPr>
              <w:t>12.418</w:t>
            </w:r>
          </w:p>
        </w:tc>
        <w:tc>
          <w:tcPr>
            <w:tcW w:w="0" w:type="auto"/>
            <w:shd w:val="clear" w:color="auto" w:fill="auto"/>
            <w:vAlign w:val="center"/>
            <w:hideMark/>
          </w:tcPr>
          <w:p w:rsidR="00DE2405" w:rsidRPr="00DE2405" w:rsidRDefault="00DE2405" w:rsidP="00B85712">
            <w:pPr>
              <w:jc w:val="center"/>
              <w:rPr>
                <w:rFonts w:eastAsia="Times New Roman"/>
                <w:b/>
                <w:bCs/>
                <w:color w:val="000000"/>
                <w:sz w:val="26"/>
                <w:szCs w:val="26"/>
                <w:lang w:val="en-US"/>
              </w:rPr>
            </w:pPr>
            <w:r w:rsidRPr="00DE2405">
              <w:rPr>
                <w:rFonts w:eastAsia="Times New Roman"/>
                <w:b/>
                <w:bCs/>
                <w:color w:val="000000"/>
                <w:sz w:val="26"/>
                <w:szCs w:val="26"/>
                <w:lang w:val="en-US"/>
              </w:rPr>
              <w:t>12.583</w:t>
            </w:r>
          </w:p>
        </w:tc>
        <w:tc>
          <w:tcPr>
            <w:tcW w:w="0" w:type="auto"/>
            <w:shd w:val="clear" w:color="auto" w:fill="auto"/>
            <w:vAlign w:val="center"/>
            <w:hideMark/>
          </w:tcPr>
          <w:p w:rsidR="00DE2405" w:rsidRPr="00DE2405" w:rsidRDefault="00DE2405" w:rsidP="00B85712">
            <w:pPr>
              <w:jc w:val="center"/>
              <w:rPr>
                <w:rFonts w:eastAsia="Times New Roman"/>
                <w:b/>
                <w:bCs/>
                <w:color w:val="000000"/>
                <w:sz w:val="26"/>
                <w:szCs w:val="26"/>
                <w:lang w:val="en-US"/>
              </w:rPr>
            </w:pPr>
            <w:r w:rsidRPr="00DE2405">
              <w:rPr>
                <w:rFonts w:eastAsia="Times New Roman"/>
                <w:b/>
                <w:bCs/>
                <w:color w:val="000000"/>
                <w:sz w:val="26"/>
                <w:szCs w:val="26"/>
                <w:lang w:val="en-US"/>
              </w:rPr>
              <w:t>13.063</w:t>
            </w:r>
          </w:p>
        </w:tc>
        <w:tc>
          <w:tcPr>
            <w:tcW w:w="0" w:type="auto"/>
            <w:shd w:val="clear" w:color="auto" w:fill="auto"/>
            <w:vAlign w:val="center"/>
            <w:hideMark/>
          </w:tcPr>
          <w:p w:rsidR="00DE2405" w:rsidRPr="00DE2405" w:rsidRDefault="00DE2405" w:rsidP="00DE2405">
            <w:pPr>
              <w:jc w:val="center"/>
              <w:rPr>
                <w:rFonts w:eastAsia="Times New Roman"/>
                <w:b/>
                <w:bCs/>
                <w:color w:val="000000"/>
                <w:sz w:val="26"/>
                <w:szCs w:val="26"/>
                <w:lang w:val="en-US"/>
              </w:rPr>
            </w:pPr>
          </w:p>
        </w:tc>
        <w:tc>
          <w:tcPr>
            <w:tcW w:w="0" w:type="auto"/>
            <w:shd w:val="clear" w:color="auto" w:fill="auto"/>
            <w:vAlign w:val="center"/>
            <w:hideMark/>
          </w:tcPr>
          <w:p w:rsidR="00DE2405" w:rsidRPr="00DE2405" w:rsidRDefault="00DE2405" w:rsidP="00DE2405">
            <w:pPr>
              <w:jc w:val="center"/>
              <w:rPr>
                <w:rFonts w:eastAsia="Times New Roman"/>
                <w:b/>
                <w:bCs/>
                <w:color w:val="000000"/>
                <w:sz w:val="26"/>
                <w:szCs w:val="26"/>
                <w:lang w:val="en-US"/>
              </w:rPr>
            </w:pPr>
          </w:p>
        </w:tc>
      </w:tr>
      <w:tr w:rsidR="00DE2405" w:rsidRPr="00DE2405" w:rsidTr="00B85712">
        <w:tc>
          <w:tcPr>
            <w:tcW w:w="0" w:type="auto"/>
            <w:shd w:val="clear" w:color="auto" w:fill="auto"/>
            <w:noWrap/>
            <w:vAlign w:val="bottom"/>
            <w:hideMark/>
          </w:tcPr>
          <w:p w:rsidR="00DE2405" w:rsidRPr="00DE2405" w:rsidRDefault="00DE2405" w:rsidP="00DE2405">
            <w:pPr>
              <w:rPr>
                <w:rFonts w:eastAsia="Times New Roman"/>
                <w:b/>
                <w:bCs/>
                <w:color w:val="000000"/>
                <w:sz w:val="26"/>
                <w:szCs w:val="26"/>
                <w:lang w:val="en-US"/>
              </w:rPr>
            </w:pPr>
            <w:r w:rsidRPr="00DE2405">
              <w:rPr>
                <w:rFonts w:eastAsia="Times New Roman"/>
                <w:b/>
                <w:bCs/>
                <w:color w:val="000000"/>
                <w:sz w:val="26"/>
                <w:szCs w:val="26"/>
                <w:lang w:val="en-US"/>
              </w:rPr>
              <w:t> </w:t>
            </w:r>
          </w:p>
        </w:tc>
        <w:tc>
          <w:tcPr>
            <w:tcW w:w="0" w:type="auto"/>
            <w:shd w:val="clear" w:color="auto" w:fill="auto"/>
            <w:vAlign w:val="center"/>
            <w:hideMark/>
          </w:tcPr>
          <w:p w:rsidR="00DE2405" w:rsidRPr="00DE2405" w:rsidRDefault="00DE2405" w:rsidP="00B85712">
            <w:pPr>
              <w:jc w:val="both"/>
              <w:rPr>
                <w:rFonts w:eastAsia="Times New Roman"/>
                <w:b/>
                <w:bCs/>
                <w:i/>
                <w:iCs/>
                <w:color w:val="000000"/>
                <w:sz w:val="26"/>
                <w:szCs w:val="26"/>
                <w:lang w:val="en-US"/>
              </w:rPr>
            </w:pPr>
            <w:r w:rsidRPr="00DE2405">
              <w:rPr>
                <w:rFonts w:eastAsia="Times New Roman"/>
                <w:b/>
                <w:bCs/>
                <w:i/>
                <w:iCs/>
                <w:color w:val="000000"/>
                <w:sz w:val="26"/>
                <w:szCs w:val="26"/>
                <w:lang w:val="en-US"/>
              </w:rPr>
              <w:t>Chia ra: Ngân sách hỗ trợ thực hiện</w:t>
            </w:r>
          </w:p>
        </w:tc>
        <w:tc>
          <w:tcPr>
            <w:tcW w:w="0" w:type="auto"/>
            <w:shd w:val="clear" w:color="auto" w:fill="auto"/>
            <w:noWrap/>
            <w:vAlign w:val="bottom"/>
            <w:hideMark/>
          </w:tcPr>
          <w:p w:rsidR="00DE2405" w:rsidRPr="00DE2405" w:rsidRDefault="00DE2405" w:rsidP="00B85712">
            <w:pPr>
              <w:jc w:val="center"/>
              <w:rPr>
                <w:rFonts w:eastAsia="Times New Roman"/>
                <w:b/>
                <w:bCs/>
                <w:i/>
                <w:iCs/>
                <w:color w:val="000000"/>
                <w:sz w:val="26"/>
                <w:szCs w:val="26"/>
                <w:lang w:val="en-US"/>
              </w:rPr>
            </w:pPr>
            <w:r w:rsidRPr="00DE2405">
              <w:rPr>
                <w:rFonts w:eastAsia="Times New Roman"/>
                <w:b/>
                <w:bCs/>
                <w:i/>
                <w:iCs/>
                <w:color w:val="000000"/>
                <w:sz w:val="26"/>
                <w:szCs w:val="26"/>
                <w:lang w:val="en-US"/>
              </w:rPr>
              <w:t>27.110</w:t>
            </w:r>
          </w:p>
        </w:tc>
        <w:tc>
          <w:tcPr>
            <w:tcW w:w="0" w:type="auto"/>
            <w:shd w:val="clear" w:color="auto" w:fill="auto"/>
            <w:noWrap/>
            <w:vAlign w:val="bottom"/>
            <w:hideMark/>
          </w:tcPr>
          <w:p w:rsidR="00DE2405" w:rsidRPr="00DE2405" w:rsidRDefault="00DE2405" w:rsidP="00B85712">
            <w:pPr>
              <w:jc w:val="center"/>
              <w:rPr>
                <w:rFonts w:eastAsia="Times New Roman"/>
                <w:b/>
                <w:bCs/>
                <w:i/>
                <w:iCs/>
                <w:color w:val="000000"/>
                <w:sz w:val="26"/>
                <w:szCs w:val="26"/>
                <w:lang w:val="en-US"/>
              </w:rPr>
            </w:pPr>
            <w:r w:rsidRPr="00DE2405">
              <w:rPr>
                <w:rFonts w:eastAsia="Times New Roman"/>
                <w:b/>
                <w:bCs/>
                <w:i/>
                <w:iCs/>
                <w:color w:val="000000"/>
                <w:sz w:val="26"/>
                <w:szCs w:val="26"/>
                <w:lang w:val="en-US"/>
              </w:rPr>
              <w:t>4.728</w:t>
            </w:r>
          </w:p>
        </w:tc>
        <w:tc>
          <w:tcPr>
            <w:tcW w:w="0" w:type="auto"/>
            <w:shd w:val="clear" w:color="auto" w:fill="auto"/>
            <w:noWrap/>
            <w:vAlign w:val="bottom"/>
            <w:hideMark/>
          </w:tcPr>
          <w:p w:rsidR="00DE2405" w:rsidRPr="00DE2405" w:rsidRDefault="00DE2405" w:rsidP="00B85712">
            <w:pPr>
              <w:jc w:val="center"/>
              <w:rPr>
                <w:rFonts w:eastAsia="Times New Roman"/>
                <w:b/>
                <w:bCs/>
                <w:i/>
                <w:iCs/>
                <w:color w:val="000000"/>
                <w:sz w:val="26"/>
                <w:szCs w:val="26"/>
                <w:lang w:val="en-US"/>
              </w:rPr>
            </w:pPr>
            <w:r w:rsidRPr="00DE2405">
              <w:rPr>
                <w:rFonts w:eastAsia="Times New Roman"/>
                <w:b/>
                <w:bCs/>
                <w:i/>
                <w:iCs/>
                <w:color w:val="000000"/>
                <w:sz w:val="26"/>
                <w:szCs w:val="26"/>
                <w:lang w:val="en-US"/>
              </w:rPr>
              <w:t>5.248</w:t>
            </w:r>
          </w:p>
        </w:tc>
        <w:tc>
          <w:tcPr>
            <w:tcW w:w="0" w:type="auto"/>
            <w:shd w:val="clear" w:color="auto" w:fill="auto"/>
            <w:noWrap/>
            <w:vAlign w:val="bottom"/>
            <w:hideMark/>
          </w:tcPr>
          <w:p w:rsidR="00DE2405" w:rsidRPr="00DE2405" w:rsidRDefault="00DE2405" w:rsidP="00B85712">
            <w:pPr>
              <w:jc w:val="center"/>
              <w:rPr>
                <w:rFonts w:eastAsia="Times New Roman"/>
                <w:b/>
                <w:bCs/>
                <w:i/>
                <w:iCs/>
                <w:color w:val="000000"/>
                <w:sz w:val="26"/>
                <w:szCs w:val="26"/>
                <w:lang w:val="en-US"/>
              </w:rPr>
            </w:pPr>
            <w:r w:rsidRPr="00DE2405">
              <w:rPr>
                <w:rFonts w:eastAsia="Times New Roman"/>
                <w:b/>
                <w:bCs/>
                <w:i/>
                <w:iCs/>
                <w:color w:val="000000"/>
                <w:sz w:val="26"/>
                <w:szCs w:val="26"/>
                <w:lang w:val="en-US"/>
              </w:rPr>
              <w:t>5.518</w:t>
            </w:r>
          </w:p>
        </w:tc>
        <w:tc>
          <w:tcPr>
            <w:tcW w:w="0" w:type="auto"/>
            <w:shd w:val="clear" w:color="auto" w:fill="auto"/>
            <w:noWrap/>
            <w:vAlign w:val="bottom"/>
            <w:hideMark/>
          </w:tcPr>
          <w:p w:rsidR="00DE2405" w:rsidRPr="00DE2405" w:rsidRDefault="00DE2405" w:rsidP="00B85712">
            <w:pPr>
              <w:jc w:val="center"/>
              <w:rPr>
                <w:rFonts w:eastAsia="Times New Roman"/>
                <w:b/>
                <w:bCs/>
                <w:i/>
                <w:iCs/>
                <w:color w:val="000000"/>
                <w:sz w:val="26"/>
                <w:szCs w:val="26"/>
                <w:lang w:val="en-US"/>
              </w:rPr>
            </w:pPr>
            <w:r w:rsidRPr="00DE2405">
              <w:rPr>
                <w:rFonts w:eastAsia="Times New Roman"/>
                <w:b/>
                <w:bCs/>
                <w:i/>
                <w:iCs/>
                <w:color w:val="000000"/>
                <w:sz w:val="26"/>
                <w:szCs w:val="26"/>
                <w:lang w:val="en-US"/>
              </w:rPr>
              <w:t>5.558</w:t>
            </w:r>
          </w:p>
        </w:tc>
        <w:tc>
          <w:tcPr>
            <w:tcW w:w="0" w:type="auto"/>
            <w:shd w:val="clear" w:color="auto" w:fill="auto"/>
            <w:noWrap/>
            <w:vAlign w:val="bottom"/>
            <w:hideMark/>
          </w:tcPr>
          <w:p w:rsidR="00DE2405" w:rsidRPr="00DE2405" w:rsidRDefault="00DE2405" w:rsidP="00B85712">
            <w:pPr>
              <w:jc w:val="center"/>
              <w:rPr>
                <w:rFonts w:eastAsia="Times New Roman"/>
                <w:b/>
                <w:bCs/>
                <w:i/>
                <w:iCs/>
                <w:color w:val="000000"/>
                <w:sz w:val="26"/>
                <w:szCs w:val="26"/>
                <w:lang w:val="en-US"/>
              </w:rPr>
            </w:pPr>
            <w:r w:rsidRPr="00DE2405">
              <w:rPr>
                <w:rFonts w:eastAsia="Times New Roman"/>
                <w:b/>
                <w:bCs/>
                <w:i/>
                <w:iCs/>
                <w:color w:val="000000"/>
                <w:sz w:val="26"/>
                <w:szCs w:val="26"/>
                <w:lang w:val="en-US"/>
              </w:rPr>
              <w:t>6.058</w:t>
            </w:r>
          </w:p>
        </w:tc>
        <w:tc>
          <w:tcPr>
            <w:tcW w:w="0" w:type="auto"/>
            <w:shd w:val="clear" w:color="auto" w:fill="auto"/>
            <w:noWrap/>
            <w:vAlign w:val="bottom"/>
            <w:hideMark/>
          </w:tcPr>
          <w:p w:rsidR="00DE2405" w:rsidRPr="00DE2405" w:rsidRDefault="00DE2405" w:rsidP="00DE2405">
            <w:pPr>
              <w:rPr>
                <w:rFonts w:eastAsia="Times New Roman"/>
                <w:b/>
                <w:bCs/>
                <w:color w:val="000000"/>
                <w:sz w:val="26"/>
                <w:szCs w:val="26"/>
                <w:lang w:val="en-US"/>
              </w:rPr>
            </w:pPr>
          </w:p>
        </w:tc>
        <w:tc>
          <w:tcPr>
            <w:tcW w:w="0" w:type="auto"/>
            <w:shd w:val="clear" w:color="auto" w:fill="auto"/>
            <w:noWrap/>
            <w:vAlign w:val="bottom"/>
            <w:hideMark/>
          </w:tcPr>
          <w:p w:rsidR="00DE2405" w:rsidRPr="00DE2405" w:rsidRDefault="00DE2405" w:rsidP="00DE2405">
            <w:pPr>
              <w:rPr>
                <w:rFonts w:eastAsia="Times New Roman"/>
                <w:b/>
                <w:bCs/>
                <w:color w:val="000000"/>
                <w:sz w:val="26"/>
                <w:szCs w:val="26"/>
                <w:lang w:val="en-US"/>
              </w:rPr>
            </w:pPr>
          </w:p>
        </w:tc>
      </w:tr>
      <w:tr w:rsidR="00DE2405" w:rsidRPr="00DE2405" w:rsidTr="00B85712">
        <w:tc>
          <w:tcPr>
            <w:tcW w:w="0" w:type="auto"/>
            <w:shd w:val="clear" w:color="auto" w:fill="auto"/>
            <w:vAlign w:val="bottom"/>
            <w:hideMark/>
          </w:tcPr>
          <w:p w:rsidR="00DE2405" w:rsidRPr="00DE2405" w:rsidRDefault="00DE2405" w:rsidP="00DE2405">
            <w:pPr>
              <w:rPr>
                <w:rFonts w:eastAsia="Times New Roman"/>
                <w:b/>
                <w:bCs/>
                <w:color w:val="000000"/>
                <w:sz w:val="26"/>
                <w:szCs w:val="26"/>
                <w:lang w:val="en-US"/>
              </w:rPr>
            </w:pPr>
            <w:r w:rsidRPr="00DE2405">
              <w:rPr>
                <w:rFonts w:eastAsia="Times New Roman"/>
                <w:b/>
                <w:bCs/>
                <w:color w:val="000000"/>
                <w:sz w:val="26"/>
                <w:szCs w:val="26"/>
                <w:lang w:val="en-US"/>
              </w:rPr>
              <w:t> </w:t>
            </w:r>
          </w:p>
        </w:tc>
        <w:tc>
          <w:tcPr>
            <w:tcW w:w="0" w:type="auto"/>
            <w:shd w:val="clear" w:color="auto" w:fill="auto"/>
            <w:vAlign w:val="center"/>
            <w:hideMark/>
          </w:tcPr>
          <w:p w:rsidR="00DE2405" w:rsidRPr="00DE2405" w:rsidRDefault="00DE2405" w:rsidP="00B85712">
            <w:pPr>
              <w:jc w:val="both"/>
              <w:rPr>
                <w:rFonts w:eastAsia="Times New Roman"/>
                <w:b/>
                <w:bCs/>
                <w:i/>
                <w:iCs/>
                <w:color w:val="000000"/>
                <w:sz w:val="26"/>
                <w:szCs w:val="26"/>
                <w:lang w:val="en-US"/>
              </w:rPr>
            </w:pPr>
            <w:r w:rsidRPr="00DE2405">
              <w:rPr>
                <w:rFonts w:eastAsia="Times New Roman"/>
                <w:b/>
                <w:bCs/>
                <w:i/>
                <w:iCs/>
                <w:color w:val="000000"/>
                <w:sz w:val="26"/>
                <w:szCs w:val="26"/>
                <w:lang w:val="en-US"/>
              </w:rPr>
              <w:t>Nguồn đối ứng của các đơn vị thụ hưởng</w:t>
            </w:r>
          </w:p>
        </w:tc>
        <w:tc>
          <w:tcPr>
            <w:tcW w:w="0" w:type="auto"/>
            <w:shd w:val="clear" w:color="auto" w:fill="auto"/>
            <w:vAlign w:val="center"/>
            <w:hideMark/>
          </w:tcPr>
          <w:p w:rsidR="00DE2405" w:rsidRPr="00DE2405" w:rsidRDefault="00DE2405" w:rsidP="00B85712">
            <w:pPr>
              <w:jc w:val="center"/>
              <w:rPr>
                <w:rFonts w:eastAsia="Times New Roman"/>
                <w:b/>
                <w:bCs/>
                <w:i/>
                <w:iCs/>
                <w:color w:val="000000"/>
                <w:sz w:val="26"/>
                <w:szCs w:val="26"/>
                <w:lang w:val="en-US"/>
              </w:rPr>
            </w:pPr>
            <w:r w:rsidRPr="00DE2405">
              <w:rPr>
                <w:rFonts w:eastAsia="Times New Roman"/>
                <w:b/>
                <w:bCs/>
                <w:i/>
                <w:iCs/>
                <w:color w:val="000000"/>
                <w:sz w:val="26"/>
                <w:szCs w:val="26"/>
                <w:lang w:val="en-US"/>
              </w:rPr>
              <w:t>35.655</w:t>
            </w:r>
          </w:p>
        </w:tc>
        <w:tc>
          <w:tcPr>
            <w:tcW w:w="0" w:type="auto"/>
            <w:shd w:val="clear" w:color="auto" w:fill="auto"/>
            <w:vAlign w:val="center"/>
            <w:hideMark/>
          </w:tcPr>
          <w:p w:rsidR="00DE2405" w:rsidRPr="00DE2405" w:rsidRDefault="00DE2405" w:rsidP="00B85712">
            <w:pPr>
              <w:jc w:val="center"/>
              <w:rPr>
                <w:rFonts w:eastAsia="Times New Roman"/>
                <w:b/>
                <w:bCs/>
                <w:i/>
                <w:iCs/>
                <w:color w:val="000000"/>
                <w:sz w:val="26"/>
                <w:szCs w:val="26"/>
                <w:lang w:val="en-US"/>
              </w:rPr>
            </w:pPr>
            <w:r w:rsidRPr="00DE2405">
              <w:rPr>
                <w:rFonts w:eastAsia="Times New Roman"/>
                <w:b/>
                <w:bCs/>
                <w:i/>
                <w:iCs/>
                <w:color w:val="000000"/>
                <w:sz w:val="26"/>
                <w:szCs w:val="26"/>
                <w:lang w:val="en-US"/>
              </w:rPr>
              <w:t>6.850</w:t>
            </w:r>
          </w:p>
        </w:tc>
        <w:tc>
          <w:tcPr>
            <w:tcW w:w="0" w:type="auto"/>
            <w:shd w:val="clear" w:color="auto" w:fill="auto"/>
            <w:vAlign w:val="center"/>
            <w:hideMark/>
          </w:tcPr>
          <w:p w:rsidR="00DE2405" w:rsidRPr="00DE2405" w:rsidRDefault="00DE2405" w:rsidP="00B85712">
            <w:pPr>
              <w:jc w:val="center"/>
              <w:rPr>
                <w:rFonts w:eastAsia="Times New Roman"/>
                <w:b/>
                <w:bCs/>
                <w:i/>
                <w:iCs/>
                <w:color w:val="000000"/>
                <w:sz w:val="26"/>
                <w:szCs w:val="26"/>
                <w:lang w:val="en-US"/>
              </w:rPr>
            </w:pPr>
            <w:r w:rsidRPr="00DE2405">
              <w:rPr>
                <w:rFonts w:eastAsia="Times New Roman"/>
                <w:b/>
                <w:bCs/>
                <w:i/>
                <w:iCs/>
                <w:color w:val="000000"/>
                <w:sz w:val="26"/>
                <w:szCs w:val="26"/>
                <w:lang w:val="en-US"/>
              </w:rPr>
              <w:t>7.875</w:t>
            </w:r>
          </w:p>
        </w:tc>
        <w:tc>
          <w:tcPr>
            <w:tcW w:w="0" w:type="auto"/>
            <w:shd w:val="clear" w:color="auto" w:fill="auto"/>
            <w:vAlign w:val="center"/>
            <w:hideMark/>
          </w:tcPr>
          <w:p w:rsidR="00DE2405" w:rsidRPr="00DE2405" w:rsidRDefault="00DE2405" w:rsidP="00B85712">
            <w:pPr>
              <w:jc w:val="center"/>
              <w:rPr>
                <w:rFonts w:eastAsia="Times New Roman"/>
                <w:b/>
                <w:bCs/>
                <w:i/>
                <w:iCs/>
                <w:color w:val="000000"/>
                <w:sz w:val="26"/>
                <w:szCs w:val="26"/>
                <w:lang w:val="en-US"/>
              </w:rPr>
            </w:pPr>
            <w:r w:rsidRPr="00DE2405">
              <w:rPr>
                <w:rFonts w:eastAsia="Times New Roman"/>
                <w:b/>
                <w:bCs/>
                <w:i/>
                <w:iCs/>
                <w:color w:val="000000"/>
                <w:sz w:val="26"/>
                <w:szCs w:val="26"/>
                <w:lang w:val="en-US"/>
              </w:rPr>
              <w:t>6.900</w:t>
            </w:r>
          </w:p>
        </w:tc>
        <w:tc>
          <w:tcPr>
            <w:tcW w:w="0" w:type="auto"/>
            <w:shd w:val="clear" w:color="auto" w:fill="auto"/>
            <w:vAlign w:val="center"/>
            <w:hideMark/>
          </w:tcPr>
          <w:p w:rsidR="00DE2405" w:rsidRPr="00DE2405" w:rsidRDefault="00DE2405" w:rsidP="00B85712">
            <w:pPr>
              <w:jc w:val="center"/>
              <w:rPr>
                <w:rFonts w:eastAsia="Times New Roman"/>
                <w:b/>
                <w:bCs/>
                <w:i/>
                <w:iCs/>
                <w:color w:val="000000"/>
                <w:sz w:val="26"/>
                <w:szCs w:val="26"/>
                <w:lang w:val="en-US"/>
              </w:rPr>
            </w:pPr>
            <w:r w:rsidRPr="00DE2405">
              <w:rPr>
                <w:rFonts w:eastAsia="Times New Roman"/>
                <w:b/>
                <w:bCs/>
                <w:i/>
                <w:iCs/>
                <w:color w:val="000000"/>
                <w:sz w:val="26"/>
                <w:szCs w:val="26"/>
                <w:lang w:val="en-US"/>
              </w:rPr>
              <w:t>7.025</w:t>
            </w:r>
          </w:p>
        </w:tc>
        <w:tc>
          <w:tcPr>
            <w:tcW w:w="0" w:type="auto"/>
            <w:shd w:val="clear" w:color="auto" w:fill="auto"/>
            <w:vAlign w:val="center"/>
            <w:hideMark/>
          </w:tcPr>
          <w:p w:rsidR="00DE2405" w:rsidRPr="00DE2405" w:rsidRDefault="00DE2405" w:rsidP="00B85712">
            <w:pPr>
              <w:jc w:val="center"/>
              <w:rPr>
                <w:rFonts w:eastAsia="Times New Roman"/>
                <w:b/>
                <w:bCs/>
                <w:i/>
                <w:iCs/>
                <w:color w:val="000000"/>
                <w:sz w:val="26"/>
                <w:szCs w:val="26"/>
                <w:lang w:val="en-US"/>
              </w:rPr>
            </w:pPr>
            <w:r w:rsidRPr="00DE2405">
              <w:rPr>
                <w:rFonts w:eastAsia="Times New Roman"/>
                <w:b/>
                <w:bCs/>
                <w:i/>
                <w:iCs/>
                <w:color w:val="000000"/>
                <w:sz w:val="26"/>
                <w:szCs w:val="26"/>
                <w:lang w:val="en-US"/>
              </w:rPr>
              <w:t>7.005</w:t>
            </w:r>
          </w:p>
        </w:tc>
        <w:tc>
          <w:tcPr>
            <w:tcW w:w="0" w:type="auto"/>
            <w:shd w:val="clear" w:color="auto" w:fill="auto"/>
            <w:vAlign w:val="bottom"/>
            <w:hideMark/>
          </w:tcPr>
          <w:p w:rsidR="00DE2405" w:rsidRPr="00DE2405" w:rsidRDefault="00DE2405" w:rsidP="00DE2405">
            <w:pPr>
              <w:rPr>
                <w:rFonts w:eastAsia="Times New Roman"/>
                <w:b/>
                <w:bCs/>
                <w:color w:val="000000"/>
                <w:sz w:val="26"/>
                <w:szCs w:val="26"/>
                <w:lang w:val="en-US"/>
              </w:rPr>
            </w:pPr>
          </w:p>
        </w:tc>
        <w:tc>
          <w:tcPr>
            <w:tcW w:w="0" w:type="auto"/>
            <w:shd w:val="clear" w:color="auto" w:fill="auto"/>
            <w:vAlign w:val="bottom"/>
            <w:hideMark/>
          </w:tcPr>
          <w:p w:rsidR="00DE2405" w:rsidRPr="00DE2405" w:rsidRDefault="00DE2405" w:rsidP="00DE2405">
            <w:pPr>
              <w:rPr>
                <w:rFonts w:eastAsia="Times New Roman"/>
                <w:b/>
                <w:bCs/>
                <w:color w:val="000000"/>
                <w:sz w:val="26"/>
                <w:szCs w:val="26"/>
                <w:lang w:val="en-US"/>
              </w:rPr>
            </w:pPr>
          </w:p>
        </w:tc>
      </w:tr>
    </w:tbl>
    <w:p w:rsidR="00DE2405" w:rsidRDefault="00B85712" w:rsidP="00B85712">
      <w:pPr>
        <w:spacing w:before="120"/>
        <w:jc w:val="right"/>
        <w:rPr>
          <w:rFonts w:eastAsia="Times New Roman"/>
          <w:b/>
          <w:bCs/>
          <w:sz w:val="26"/>
          <w:szCs w:val="26"/>
          <w:lang w:val="sv-SE" w:eastAsia="vi-VN"/>
        </w:rPr>
      </w:pPr>
      <w:r>
        <w:rPr>
          <w:rFonts w:eastAsia="Times New Roman"/>
          <w:b/>
          <w:bCs/>
          <w:sz w:val="26"/>
          <w:szCs w:val="26"/>
          <w:lang w:val="sv-SE" w:eastAsia="vi-VN"/>
        </w:rPr>
        <w:t>ỦY BAN NHÂN DÂN TỈNH</w:t>
      </w:r>
    </w:p>
    <w:p w:rsidR="00DE2405" w:rsidRDefault="00DE2405" w:rsidP="008E5857">
      <w:pPr>
        <w:jc w:val="right"/>
        <w:rPr>
          <w:rFonts w:eastAsia="Times New Roman"/>
          <w:b/>
          <w:bCs/>
          <w:sz w:val="26"/>
          <w:szCs w:val="26"/>
          <w:lang w:val="sv-SE" w:eastAsia="vi-VN"/>
        </w:rPr>
      </w:pPr>
    </w:p>
    <w:p w:rsidR="00DE2405" w:rsidRPr="008E5857" w:rsidRDefault="00DE2405" w:rsidP="008E5857">
      <w:pPr>
        <w:jc w:val="right"/>
        <w:rPr>
          <w:rFonts w:eastAsia="Times New Roman"/>
          <w:b/>
          <w:bCs/>
          <w:sz w:val="26"/>
          <w:szCs w:val="26"/>
          <w:lang w:val="sv-SE" w:eastAsia="vi-VN"/>
        </w:rPr>
      </w:pPr>
    </w:p>
    <w:p w:rsidR="00E01848" w:rsidRDefault="00E01848" w:rsidP="00043DDF">
      <w:pPr>
        <w:rPr>
          <w:rFonts w:eastAsia="Times New Roman"/>
          <w:b/>
          <w:bCs/>
          <w:szCs w:val="28"/>
          <w:lang w:val="sv-SE" w:eastAsia="vi-VN"/>
        </w:rPr>
      </w:pPr>
    </w:p>
    <w:p w:rsidR="00E01848" w:rsidRDefault="00E01848" w:rsidP="00043DDF">
      <w:pPr>
        <w:rPr>
          <w:rFonts w:eastAsia="Times New Roman"/>
          <w:b/>
          <w:bCs/>
          <w:szCs w:val="28"/>
          <w:lang w:val="sv-SE" w:eastAsia="vi-VN"/>
        </w:rPr>
      </w:pPr>
    </w:p>
    <w:p w:rsidR="00E01848" w:rsidRDefault="00E01848" w:rsidP="00043DDF">
      <w:pPr>
        <w:rPr>
          <w:rFonts w:eastAsia="Times New Roman"/>
          <w:b/>
          <w:bCs/>
          <w:szCs w:val="28"/>
          <w:lang w:val="sv-SE" w:eastAsia="vi-VN"/>
        </w:rPr>
      </w:pPr>
    </w:p>
    <w:p w:rsidR="00E01848" w:rsidRDefault="00E01848" w:rsidP="00043DDF">
      <w:pPr>
        <w:rPr>
          <w:rFonts w:eastAsia="Times New Roman"/>
          <w:b/>
          <w:bCs/>
          <w:szCs w:val="28"/>
          <w:lang w:val="sv-SE" w:eastAsia="vi-VN"/>
        </w:rPr>
      </w:pPr>
    </w:p>
    <w:p w:rsidR="00E01848" w:rsidRDefault="00E01848" w:rsidP="00043DDF">
      <w:pPr>
        <w:rPr>
          <w:rFonts w:eastAsia="Times New Roman"/>
          <w:b/>
          <w:bCs/>
          <w:szCs w:val="28"/>
          <w:lang w:val="sv-SE" w:eastAsia="vi-VN"/>
        </w:rPr>
      </w:pPr>
    </w:p>
    <w:sectPr w:rsidR="00E01848" w:rsidSect="00E01848">
      <w:pgSz w:w="16840" w:h="11907" w:orient="landscape" w:code="9"/>
      <w:pgMar w:top="1134" w:right="1134" w:bottom="1134" w:left="1134" w:header="397" w:footer="6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C37" w:rsidRDefault="00A11C37" w:rsidP="00F25C85">
      <w:r>
        <w:separator/>
      </w:r>
    </w:p>
  </w:endnote>
  <w:endnote w:type="continuationSeparator" w:id="0">
    <w:p w:rsidR="00A11C37" w:rsidRDefault="00A11C37" w:rsidP="00F2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AE" w:rsidRDefault="008533C0" w:rsidP="00643519">
    <w:pPr>
      <w:pStyle w:val="Footer"/>
      <w:framePr w:wrap="around" w:vAnchor="text" w:hAnchor="margin" w:xAlign="center" w:y="1"/>
      <w:rPr>
        <w:rStyle w:val="PageNumber"/>
      </w:rPr>
    </w:pPr>
    <w:r>
      <w:rPr>
        <w:rStyle w:val="PageNumber"/>
      </w:rPr>
      <w:fldChar w:fldCharType="begin"/>
    </w:r>
    <w:r w:rsidR="009C5CAE">
      <w:rPr>
        <w:rStyle w:val="PageNumber"/>
      </w:rPr>
      <w:instrText xml:space="preserve">PAGE  </w:instrText>
    </w:r>
    <w:r>
      <w:rPr>
        <w:rStyle w:val="PageNumber"/>
      </w:rPr>
      <w:fldChar w:fldCharType="end"/>
    </w:r>
  </w:p>
  <w:p w:rsidR="009C5CAE" w:rsidRDefault="009C5CAE" w:rsidP="00074E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CAE" w:rsidRDefault="009C5CAE" w:rsidP="00074ECA">
    <w:pPr>
      <w:pStyle w:val="Footer"/>
      <w:ind w:right="360"/>
      <w:jc w:val="center"/>
    </w:pPr>
  </w:p>
  <w:p w:rsidR="009C5CAE" w:rsidRDefault="009C5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C37" w:rsidRDefault="00A11C37" w:rsidP="00F25C85">
      <w:r>
        <w:separator/>
      </w:r>
    </w:p>
  </w:footnote>
  <w:footnote w:type="continuationSeparator" w:id="0">
    <w:p w:rsidR="00A11C37" w:rsidRDefault="00A11C37" w:rsidP="00F25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469"/>
      <w:docPartObj>
        <w:docPartGallery w:val="Page Numbers (Top of Page)"/>
        <w:docPartUnique/>
      </w:docPartObj>
    </w:sdtPr>
    <w:sdtEndPr/>
    <w:sdtContent>
      <w:p w:rsidR="00522849" w:rsidRDefault="008533C0">
        <w:pPr>
          <w:pStyle w:val="Header"/>
          <w:jc w:val="center"/>
        </w:pPr>
        <w:r>
          <w:fldChar w:fldCharType="begin"/>
        </w:r>
        <w:r w:rsidR="00003ACD">
          <w:instrText xml:space="preserve"> PAGE   \* MERGEFORMAT </w:instrText>
        </w:r>
        <w:r>
          <w:fldChar w:fldCharType="separate"/>
        </w:r>
        <w:r w:rsidR="00990A92">
          <w:rPr>
            <w:noProof/>
          </w:rPr>
          <w:t>14</w:t>
        </w:r>
        <w:r>
          <w:rPr>
            <w:noProof/>
          </w:rPr>
          <w:fldChar w:fldCharType="end"/>
        </w:r>
      </w:p>
    </w:sdtContent>
  </w:sdt>
  <w:p w:rsidR="00522849" w:rsidRDefault="00522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D82"/>
    <w:multiLevelType w:val="hybridMultilevel"/>
    <w:tmpl w:val="EC4E1290"/>
    <w:lvl w:ilvl="0" w:tplc="E806EF10">
      <w:start w:val="1"/>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193A52"/>
    <w:multiLevelType w:val="hybridMultilevel"/>
    <w:tmpl w:val="018CB5E4"/>
    <w:lvl w:ilvl="0" w:tplc="42644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5C4CD2"/>
    <w:multiLevelType w:val="hybridMultilevel"/>
    <w:tmpl w:val="971A4ACA"/>
    <w:lvl w:ilvl="0" w:tplc="D368F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AC1C27"/>
    <w:multiLevelType w:val="hybridMultilevel"/>
    <w:tmpl w:val="566270C8"/>
    <w:lvl w:ilvl="0" w:tplc="D7BE1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2B6BE5"/>
    <w:multiLevelType w:val="hybridMultilevel"/>
    <w:tmpl w:val="81842E06"/>
    <w:lvl w:ilvl="0" w:tplc="EFD67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772B02"/>
    <w:multiLevelType w:val="hybridMultilevel"/>
    <w:tmpl w:val="A5A2B6B0"/>
    <w:lvl w:ilvl="0" w:tplc="42BA6F2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9E"/>
    <w:rsid w:val="00000E58"/>
    <w:rsid w:val="00002AF8"/>
    <w:rsid w:val="00003ACD"/>
    <w:rsid w:val="000068D0"/>
    <w:rsid w:val="00011CF3"/>
    <w:rsid w:val="0001244E"/>
    <w:rsid w:val="00017202"/>
    <w:rsid w:val="000178C2"/>
    <w:rsid w:val="00023790"/>
    <w:rsid w:val="0002439B"/>
    <w:rsid w:val="0002559E"/>
    <w:rsid w:val="000259DC"/>
    <w:rsid w:val="00031ED3"/>
    <w:rsid w:val="00032153"/>
    <w:rsid w:val="000333FC"/>
    <w:rsid w:val="000375E8"/>
    <w:rsid w:val="00041D02"/>
    <w:rsid w:val="0004392C"/>
    <w:rsid w:val="00043DDF"/>
    <w:rsid w:val="0004435C"/>
    <w:rsid w:val="000444EF"/>
    <w:rsid w:val="0005624E"/>
    <w:rsid w:val="00061C6E"/>
    <w:rsid w:val="000669E9"/>
    <w:rsid w:val="00074650"/>
    <w:rsid w:val="00074ECA"/>
    <w:rsid w:val="00075948"/>
    <w:rsid w:val="0008378A"/>
    <w:rsid w:val="00084688"/>
    <w:rsid w:val="00085275"/>
    <w:rsid w:val="00085C44"/>
    <w:rsid w:val="00086C5C"/>
    <w:rsid w:val="00093EDE"/>
    <w:rsid w:val="000955EC"/>
    <w:rsid w:val="000A3F56"/>
    <w:rsid w:val="000A5566"/>
    <w:rsid w:val="000C1FA4"/>
    <w:rsid w:val="000C28F5"/>
    <w:rsid w:val="000C6457"/>
    <w:rsid w:val="000C7BE3"/>
    <w:rsid w:val="000D1C2E"/>
    <w:rsid w:val="000D3F4B"/>
    <w:rsid w:val="000D5495"/>
    <w:rsid w:val="000D65FD"/>
    <w:rsid w:val="000E2D06"/>
    <w:rsid w:val="000E2FEC"/>
    <w:rsid w:val="000E7079"/>
    <w:rsid w:val="000F0FDB"/>
    <w:rsid w:val="000F2264"/>
    <w:rsid w:val="000F355D"/>
    <w:rsid w:val="00103047"/>
    <w:rsid w:val="001061D8"/>
    <w:rsid w:val="00111BD8"/>
    <w:rsid w:val="00112141"/>
    <w:rsid w:val="00113DF6"/>
    <w:rsid w:val="001159D4"/>
    <w:rsid w:val="00121D7F"/>
    <w:rsid w:val="00124793"/>
    <w:rsid w:val="001344FA"/>
    <w:rsid w:val="001350C9"/>
    <w:rsid w:val="00136E12"/>
    <w:rsid w:val="00140F16"/>
    <w:rsid w:val="00141976"/>
    <w:rsid w:val="00147D75"/>
    <w:rsid w:val="00150C92"/>
    <w:rsid w:val="001515D1"/>
    <w:rsid w:val="00151960"/>
    <w:rsid w:val="00155ACC"/>
    <w:rsid w:val="001612C0"/>
    <w:rsid w:val="00161608"/>
    <w:rsid w:val="00161C4B"/>
    <w:rsid w:val="0016270E"/>
    <w:rsid w:val="00172E69"/>
    <w:rsid w:val="00186891"/>
    <w:rsid w:val="00186DA5"/>
    <w:rsid w:val="00187B8C"/>
    <w:rsid w:val="00190C21"/>
    <w:rsid w:val="00192EFC"/>
    <w:rsid w:val="001974FC"/>
    <w:rsid w:val="001A7B00"/>
    <w:rsid w:val="001A7E77"/>
    <w:rsid w:val="001B0481"/>
    <w:rsid w:val="001B1726"/>
    <w:rsid w:val="001B2C81"/>
    <w:rsid w:val="001B2F15"/>
    <w:rsid w:val="001B4495"/>
    <w:rsid w:val="001B63B9"/>
    <w:rsid w:val="001C2B1A"/>
    <w:rsid w:val="001C38D0"/>
    <w:rsid w:val="001C4AA4"/>
    <w:rsid w:val="001C5A8C"/>
    <w:rsid w:val="001D165C"/>
    <w:rsid w:val="001D3F60"/>
    <w:rsid w:val="001E0D62"/>
    <w:rsid w:val="001E180C"/>
    <w:rsid w:val="001E3BE5"/>
    <w:rsid w:val="001E5159"/>
    <w:rsid w:val="001E5611"/>
    <w:rsid w:val="001E76CF"/>
    <w:rsid w:val="001F1266"/>
    <w:rsid w:val="00200251"/>
    <w:rsid w:val="00201BAA"/>
    <w:rsid w:val="002061F0"/>
    <w:rsid w:val="00212E46"/>
    <w:rsid w:val="00213629"/>
    <w:rsid w:val="002146B5"/>
    <w:rsid w:val="00214DA3"/>
    <w:rsid w:val="00224C63"/>
    <w:rsid w:val="002345C8"/>
    <w:rsid w:val="00241CB6"/>
    <w:rsid w:val="00243527"/>
    <w:rsid w:val="0024581E"/>
    <w:rsid w:val="002528F2"/>
    <w:rsid w:val="00252F54"/>
    <w:rsid w:val="0025341E"/>
    <w:rsid w:val="00255300"/>
    <w:rsid w:val="00255318"/>
    <w:rsid w:val="00255461"/>
    <w:rsid w:val="0026542D"/>
    <w:rsid w:val="00266774"/>
    <w:rsid w:val="00267DEF"/>
    <w:rsid w:val="0027111F"/>
    <w:rsid w:val="002719A1"/>
    <w:rsid w:val="002746C7"/>
    <w:rsid w:val="00275076"/>
    <w:rsid w:val="00275B1B"/>
    <w:rsid w:val="00277B34"/>
    <w:rsid w:val="00280582"/>
    <w:rsid w:val="00281DB8"/>
    <w:rsid w:val="00286987"/>
    <w:rsid w:val="00291DD2"/>
    <w:rsid w:val="00292698"/>
    <w:rsid w:val="00292DAA"/>
    <w:rsid w:val="002944BD"/>
    <w:rsid w:val="002947E4"/>
    <w:rsid w:val="0029531B"/>
    <w:rsid w:val="00296D4F"/>
    <w:rsid w:val="002971E1"/>
    <w:rsid w:val="002A24BE"/>
    <w:rsid w:val="002A45C7"/>
    <w:rsid w:val="002A6EB9"/>
    <w:rsid w:val="002B03DE"/>
    <w:rsid w:val="002B4941"/>
    <w:rsid w:val="002C45FB"/>
    <w:rsid w:val="002C4AE4"/>
    <w:rsid w:val="002C7BC1"/>
    <w:rsid w:val="002D2874"/>
    <w:rsid w:val="002D3B77"/>
    <w:rsid w:val="002D5CAF"/>
    <w:rsid w:val="002E172D"/>
    <w:rsid w:val="002E2948"/>
    <w:rsid w:val="002E3D42"/>
    <w:rsid w:val="002F2DF6"/>
    <w:rsid w:val="002F3017"/>
    <w:rsid w:val="002F4EAB"/>
    <w:rsid w:val="003026DD"/>
    <w:rsid w:val="00306825"/>
    <w:rsid w:val="003075C3"/>
    <w:rsid w:val="00307BCB"/>
    <w:rsid w:val="00310C36"/>
    <w:rsid w:val="00311299"/>
    <w:rsid w:val="00312EEF"/>
    <w:rsid w:val="00314810"/>
    <w:rsid w:val="00317FB6"/>
    <w:rsid w:val="00324446"/>
    <w:rsid w:val="00325A82"/>
    <w:rsid w:val="00330D32"/>
    <w:rsid w:val="00331BCF"/>
    <w:rsid w:val="00337CDF"/>
    <w:rsid w:val="00350937"/>
    <w:rsid w:val="003510FE"/>
    <w:rsid w:val="003514D3"/>
    <w:rsid w:val="003602EE"/>
    <w:rsid w:val="00362F33"/>
    <w:rsid w:val="00363E03"/>
    <w:rsid w:val="00364B4E"/>
    <w:rsid w:val="00365B40"/>
    <w:rsid w:val="003663B1"/>
    <w:rsid w:val="00370959"/>
    <w:rsid w:val="00371568"/>
    <w:rsid w:val="00372E0B"/>
    <w:rsid w:val="003730EA"/>
    <w:rsid w:val="0037579C"/>
    <w:rsid w:val="00383062"/>
    <w:rsid w:val="0038425D"/>
    <w:rsid w:val="0038477F"/>
    <w:rsid w:val="0038704D"/>
    <w:rsid w:val="00390E88"/>
    <w:rsid w:val="003913AE"/>
    <w:rsid w:val="00391E13"/>
    <w:rsid w:val="00394609"/>
    <w:rsid w:val="00396D18"/>
    <w:rsid w:val="00397010"/>
    <w:rsid w:val="0039710E"/>
    <w:rsid w:val="003B1608"/>
    <w:rsid w:val="003B7A70"/>
    <w:rsid w:val="003C1484"/>
    <w:rsid w:val="003C2BC5"/>
    <w:rsid w:val="003D0A00"/>
    <w:rsid w:val="003D6574"/>
    <w:rsid w:val="003E0621"/>
    <w:rsid w:val="003E113F"/>
    <w:rsid w:val="003E35FD"/>
    <w:rsid w:val="003E4135"/>
    <w:rsid w:val="003E5DF8"/>
    <w:rsid w:val="003F6B04"/>
    <w:rsid w:val="004004A3"/>
    <w:rsid w:val="0040115A"/>
    <w:rsid w:val="00402223"/>
    <w:rsid w:val="00402406"/>
    <w:rsid w:val="00405212"/>
    <w:rsid w:val="0041020A"/>
    <w:rsid w:val="00410FC9"/>
    <w:rsid w:val="00412196"/>
    <w:rsid w:val="00424D7D"/>
    <w:rsid w:val="00425359"/>
    <w:rsid w:val="00431A61"/>
    <w:rsid w:val="00441044"/>
    <w:rsid w:val="00443D36"/>
    <w:rsid w:val="00445315"/>
    <w:rsid w:val="00445C3C"/>
    <w:rsid w:val="004473FE"/>
    <w:rsid w:val="004512FD"/>
    <w:rsid w:val="004552DE"/>
    <w:rsid w:val="00456257"/>
    <w:rsid w:val="00460004"/>
    <w:rsid w:val="00470867"/>
    <w:rsid w:val="00476129"/>
    <w:rsid w:val="00476596"/>
    <w:rsid w:val="00476DD3"/>
    <w:rsid w:val="004800FF"/>
    <w:rsid w:val="0048478C"/>
    <w:rsid w:val="0048733E"/>
    <w:rsid w:val="0049567C"/>
    <w:rsid w:val="00496029"/>
    <w:rsid w:val="00496353"/>
    <w:rsid w:val="004A019D"/>
    <w:rsid w:val="004A26B0"/>
    <w:rsid w:val="004A32C3"/>
    <w:rsid w:val="004A545B"/>
    <w:rsid w:val="004A5D89"/>
    <w:rsid w:val="004B02A4"/>
    <w:rsid w:val="004B2DB5"/>
    <w:rsid w:val="004B45FD"/>
    <w:rsid w:val="004B58D0"/>
    <w:rsid w:val="004C0130"/>
    <w:rsid w:val="004C06BB"/>
    <w:rsid w:val="004C51B8"/>
    <w:rsid w:val="004C7278"/>
    <w:rsid w:val="004C7527"/>
    <w:rsid w:val="004C7D81"/>
    <w:rsid w:val="004D05D5"/>
    <w:rsid w:val="004D09F4"/>
    <w:rsid w:val="004D16AC"/>
    <w:rsid w:val="004D31CA"/>
    <w:rsid w:val="004D4C78"/>
    <w:rsid w:val="004E36A6"/>
    <w:rsid w:val="004E52B8"/>
    <w:rsid w:val="004F0A79"/>
    <w:rsid w:val="004F2D95"/>
    <w:rsid w:val="004F38BE"/>
    <w:rsid w:val="004F482F"/>
    <w:rsid w:val="004F6D1E"/>
    <w:rsid w:val="004F778E"/>
    <w:rsid w:val="0050266B"/>
    <w:rsid w:val="0051040D"/>
    <w:rsid w:val="0051449D"/>
    <w:rsid w:val="0052150F"/>
    <w:rsid w:val="00521876"/>
    <w:rsid w:val="00522849"/>
    <w:rsid w:val="0052391E"/>
    <w:rsid w:val="0052511B"/>
    <w:rsid w:val="005308D0"/>
    <w:rsid w:val="00530972"/>
    <w:rsid w:val="0053335C"/>
    <w:rsid w:val="00535D14"/>
    <w:rsid w:val="005364FD"/>
    <w:rsid w:val="00537CD4"/>
    <w:rsid w:val="005405F3"/>
    <w:rsid w:val="00544F8F"/>
    <w:rsid w:val="00546D5E"/>
    <w:rsid w:val="00552190"/>
    <w:rsid w:val="0056055F"/>
    <w:rsid w:val="00564FAE"/>
    <w:rsid w:val="005674A9"/>
    <w:rsid w:val="00567DBE"/>
    <w:rsid w:val="00572FB0"/>
    <w:rsid w:val="005744A4"/>
    <w:rsid w:val="00574D5F"/>
    <w:rsid w:val="005806F2"/>
    <w:rsid w:val="005858BB"/>
    <w:rsid w:val="00592EED"/>
    <w:rsid w:val="005A0453"/>
    <w:rsid w:val="005A1AED"/>
    <w:rsid w:val="005C323B"/>
    <w:rsid w:val="005C423F"/>
    <w:rsid w:val="005C4B31"/>
    <w:rsid w:val="005C64E8"/>
    <w:rsid w:val="005D11CB"/>
    <w:rsid w:val="005D2980"/>
    <w:rsid w:val="005D3A11"/>
    <w:rsid w:val="005D3D19"/>
    <w:rsid w:val="005E277A"/>
    <w:rsid w:val="005E3F66"/>
    <w:rsid w:val="005E67A9"/>
    <w:rsid w:val="005E6E49"/>
    <w:rsid w:val="005F12FF"/>
    <w:rsid w:val="005F1F4D"/>
    <w:rsid w:val="005F42A4"/>
    <w:rsid w:val="005F6749"/>
    <w:rsid w:val="005F7A57"/>
    <w:rsid w:val="00606408"/>
    <w:rsid w:val="006076BD"/>
    <w:rsid w:val="00612D9B"/>
    <w:rsid w:val="00614697"/>
    <w:rsid w:val="006222E7"/>
    <w:rsid w:val="00624F2B"/>
    <w:rsid w:val="006263F3"/>
    <w:rsid w:val="006268F2"/>
    <w:rsid w:val="00630408"/>
    <w:rsid w:val="00632D31"/>
    <w:rsid w:val="0063688C"/>
    <w:rsid w:val="00642CB3"/>
    <w:rsid w:val="006433E9"/>
    <w:rsid w:val="00643519"/>
    <w:rsid w:val="00643721"/>
    <w:rsid w:val="00646340"/>
    <w:rsid w:val="00652B29"/>
    <w:rsid w:val="00653883"/>
    <w:rsid w:val="00653B31"/>
    <w:rsid w:val="006570DC"/>
    <w:rsid w:val="006627CA"/>
    <w:rsid w:val="00663427"/>
    <w:rsid w:val="006635AD"/>
    <w:rsid w:val="0066473B"/>
    <w:rsid w:val="0067187B"/>
    <w:rsid w:val="0067293A"/>
    <w:rsid w:val="00674BA9"/>
    <w:rsid w:val="006815E3"/>
    <w:rsid w:val="006818CE"/>
    <w:rsid w:val="0069331F"/>
    <w:rsid w:val="00696DDC"/>
    <w:rsid w:val="006A5C27"/>
    <w:rsid w:val="006A5E23"/>
    <w:rsid w:val="006B04DE"/>
    <w:rsid w:val="006B0501"/>
    <w:rsid w:val="006B1539"/>
    <w:rsid w:val="006C2365"/>
    <w:rsid w:val="006C3F8F"/>
    <w:rsid w:val="006C7152"/>
    <w:rsid w:val="006D28C4"/>
    <w:rsid w:val="006D575C"/>
    <w:rsid w:val="006D628D"/>
    <w:rsid w:val="006D6911"/>
    <w:rsid w:val="006E0286"/>
    <w:rsid w:val="006E141F"/>
    <w:rsid w:val="006E268B"/>
    <w:rsid w:val="006E6728"/>
    <w:rsid w:val="006E7976"/>
    <w:rsid w:val="006F1C13"/>
    <w:rsid w:val="006F5FAE"/>
    <w:rsid w:val="006F74D9"/>
    <w:rsid w:val="006F7A8A"/>
    <w:rsid w:val="00701907"/>
    <w:rsid w:val="00701A73"/>
    <w:rsid w:val="007028BB"/>
    <w:rsid w:val="00716E43"/>
    <w:rsid w:val="00716FC1"/>
    <w:rsid w:val="00724F76"/>
    <w:rsid w:val="0073017B"/>
    <w:rsid w:val="007317BC"/>
    <w:rsid w:val="007341A3"/>
    <w:rsid w:val="00736C87"/>
    <w:rsid w:val="00737F67"/>
    <w:rsid w:val="007400D2"/>
    <w:rsid w:val="00742DC5"/>
    <w:rsid w:val="00743D20"/>
    <w:rsid w:val="00744AAB"/>
    <w:rsid w:val="00745D3C"/>
    <w:rsid w:val="00752670"/>
    <w:rsid w:val="0075276D"/>
    <w:rsid w:val="007605E6"/>
    <w:rsid w:val="0076269C"/>
    <w:rsid w:val="00763266"/>
    <w:rsid w:val="007635E2"/>
    <w:rsid w:val="00764DDA"/>
    <w:rsid w:val="00770002"/>
    <w:rsid w:val="00770DA5"/>
    <w:rsid w:val="007738C2"/>
    <w:rsid w:val="007913F3"/>
    <w:rsid w:val="007928AA"/>
    <w:rsid w:val="007934E3"/>
    <w:rsid w:val="007950AE"/>
    <w:rsid w:val="007978FC"/>
    <w:rsid w:val="007A4782"/>
    <w:rsid w:val="007B00E1"/>
    <w:rsid w:val="007B0DD2"/>
    <w:rsid w:val="007B4015"/>
    <w:rsid w:val="007B5EF7"/>
    <w:rsid w:val="007B6528"/>
    <w:rsid w:val="007B73B6"/>
    <w:rsid w:val="007C0A7D"/>
    <w:rsid w:val="007C7FC2"/>
    <w:rsid w:val="007D31F0"/>
    <w:rsid w:val="007D34B9"/>
    <w:rsid w:val="007D40AA"/>
    <w:rsid w:val="007D41DB"/>
    <w:rsid w:val="007D616E"/>
    <w:rsid w:val="007E0EDA"/>
    <w:rsid w:val="007E29E0"/>
    <w:rsid w:val="007E5CF0"/>
    <w:rsid w:val="007E618B"/>
    <w:rsid w:val="007E7FC4"/>
    <w:rsid w:val="007F72CE"/>
    <w:rsid w:val="008012BE"/>
    <w:rsid w:val="00801339"/>
    <w:rsid w:val="00801867"/>
    <w:rsid w:val="00820894"/>
    <w:rsid w:val="0082133A"/>
    <w:rsid w:val="0082462D"/>
    <w:rsid w:val="00825740"/>
    <w:rsid w:val="00826BCE"/>
    <w:rsid w:val="00826E5E"/>
    <w:rsid w:val="00831BB0"/>
    <w:rsid w:val="00835A7E"/>
    <w:rsid w:val="00836DBA"/>
    <w:rsid w:val="00836FD3"/>
    <w:rsid w:val="00842C09"/>
    <w:rsid w:val="00844849"/>
    <w:rsid w:val="008478F7"/>
    <w:rsid w:val="008510CE"/>
    <w:rsid w:val="008533C0"/>
    <w:rsid w:val="0085361F"/>
    <w:rsid w:val="00855170"/>
    <w:rsid w:val="008551C6"/>
    <w:rsid w:val="00857788"/>
    <w:rsid w:val="00857BA4"/>
    <w:rsid w:val="00861007"/>
    <w:rsid w:val="008618DA"/>
    <w:rsid w:val="0086222E"/>
    <w:rsid w:val="008632E0"/>
    <w:rsid w:val="00867F83"/>
    <w:rsid w:val="00871A43"/>
    <w:rsid w:val="00875D85"/>
    <w:rsid w:val="008774F6"/>
    <w:rsid w:val="00892977"/>
    <w:rsid w:val="0089384C"/>
    <w:rsid w:val="008A0BAA"/>
    <w:rsid w:val="008A26A7"/>
    <w:rsid w:val="008B07B2"/>
    <w:rsid w:val="008B5645"/>
    <w:rsid w:val="008C7ABF"/>
    <w:rsid w:val="008D0241"/>
    <w:rsid w:val="008D1047"/>
    <w:rsid w:val="008D39BC"/>
    <w:rsid w:val="008D567D"/>
    <w:rsid w:val="008D572B"/>
    <w:rsid w:val="008D7667"/>
    <w:rsid w:val="008E0B8A"/>
    <w:rsid w:val="008E1FE0"/>
    <w:rsid w:val="008E3B0A"/>
    <w:rsid w:val="008E5857"/>
    <w:rsid w:val="008F4403"/>
    <w:rsid w:val="008F79DF"/>
    <w:rsid w:val="00900AEB"/>
    <w:rsid w:val="009022D9"/>
    <w:rsid w:val="009116F4"/>
    <w:rsid w:val="00913200"/>
    <w:rsid w:val="0092597E"/>
    <w:rsid w:val="0092622D"/>
    <w:rsid w:val="00933830"/>
    <w:rsid w:val="00935281"/>
    <w:rsid w:val="00941E0B"/>
    <w:rsid w:val="00947F50"/>
    <w:rsid w:val="0095040B"/>
    <w:rsid w:val="009553A4"/>
    <w:rsid w:val="00955AB1"/>
    <w:rsid w:val="009578AC"/>
    <w:rsid w:val="00961BE1"/>
    <w:rsid w:val="00974F3F"/>
    <w:rsid w:val="00983F00"/>
    <w:rsid w:val="00987269"/>
    <w:rsid w:val="00990A92"/>
    <w:rsid w:val="00993328"/>
    <w:rsid w:val="00994881"/>
    <w:rsid w:val="009973CB"/>
    <w:rsid w:val="009A232A"/>
    <w:rsid w:val="009A2D8E"/>
    <w:rsid w:val="009A2E09"/>
    <w:rsid w:val="009A4FBA"/>
    <w:rsid w:val="009A6947"/>
    <w:rsid w:val="009A7764"/>
    <w:rsid w:val="009B0AD4"/>
    <w:rsid w:val="009B1432"/>
    <w:rsid w:val="009B1CCE"/>
    <w:rsid w:val="009C2B47"/>
    <w:rsid w:val="009C5993"/>
    <w:rsid w:val="009C5CAE"/>
    <w:rsid w:val="009D1584"/>
    <w:rsid w:val="009D1679"/>
    <w:rsid w:val="009D2E75"/>
    <w:rsid w:val="009D6D4C"/>
    <w:rsid w:val="009E1B50"/>
    <w:rsid w:val="009E30F2"/>
    <w:rsid w:val="009E41BD"/>
    <w:rsid w:val="009E76E4"/>
    <w:rsid w:val="009F24CD"/>
    <w:rsid w:val="00A00327"/>
    <w:rsid w:val="00A03DC8"/>
    <w:rsid w:val="00A05FFF"/>
    <w:rsid w:val="00A0714D"/>
    <w:rsid w:val="00A113DB"/>
    <w:rsid w:val="00A11C37"/>
    <w:rsid w:val="00A12CE8"/>
    <w:rsid w:val="00A15CB2"/>
    <w:rsid w:val="00A16324"/>
    <w:rsid w:val="00A164DF"/>
    <w:rsid w:val="00A24B33"/>
    <w:rsid w:val="00A27ABF"/>
    <w:rsid w:val="00A27D8C"/>
    <w:rsid w:val="00A3545D"/>
    <w:rsid w:val="00A366D5"/>
    <w:rsid w:val="00A366D7"/>
    <w:rsid w:val="00A371BB"/>
    <w:rsid w:val="00A37C8F"/>
    <w:rsid w:val="00A40EE2"/>
    <w:rsid w:val="00A43FD7"/>
    <w:rsid w:val="00A51CF2"/>
    <w:rsid w:val="00A51EB4"/>
    <w:rsid w:val="00A63909"/>
    <w:rsid w:val="00A64462"/>
    <w:rsid w:val="00A65194"/>
    <w:rsid w:val="00A6783C"/>
    <w:rsid w:val="00A7285C"/>
    <w:rsid w:val="00A74AEA"/>
    <w:rsid w:val="00A75D6F"/>
    <w:rsid w:val="00A7668F"/>
    <w:rsid w:val="00A778C3"/>
    <w:rsid w:val="00A812E5"/>
    <w:rsid w:val="00A81ADA"/>
    <w:rsid w:val="00A829EB"/>
    <w:rsid w:val="00A83912"/>
    <w:rsid w:val="00A84C3B"/>
    <w:rsid w:val="00A87F91"/>
    <w:rsid w:val="00A951AE"/>
    <w:rsid w:val="00A951ED"/>
    <w:rsid w:val="00A951F1"/>
    <w:rsid w:val="00A97E3A"/>
    <w:rsid w:val="00AA15C7"/>
    <w:rsid w:val="00AA1A34"/>
    <w:rsid w:val="00AA4BCD"/>
    <w:rsid w:val="00AA55B3"/>
    <w:rsid w:val="00AB4517"/>
    <w:rsid w:val="00AB60CA"/>
    <w:rsid w:val="00AC08F4"/>
    <w:rsid w:val="00AC6564"/>
    <w:rsid w:val="00AC7FB5"/>
    <w:rsid w:val="00AD3493"/>
    <w:rsid w:val="00AD3A7F"/>
    <w:rsid w:val="00AD7D84"/>
    <w:rsid w:val="00AE25F0"/>
    <w:rsid w:val="00AE2DBE"/>
    <w:rsid w:val="00AE33FE"/>
    <w:rsid w:val="00AE37D6"/>
    <w:rsid w:val="00AE7CA5"/>
    <w:rsid w:val="00AF02FD"/>
    <w:rsid w:val="00AF2D2A"/>
    <w:rsid w:val="00AF360E"/>
    <w:rsid w:val="00AF4E60"/>
    <w:rsid w:val="00AF53F6"/>
    <w:rsid w:val="00AF5BEA"/>
    <w:rsid w:val="00B04E8B"/>
    <w:rsid w:val="00B0771F"/>
    <w:rsid w:val="00B102DA"/>
    <w:rsid w:val="00B105DF"/>
    <w:rsid w:val="00B10B5A"/>
    <w:rsid w:val="00B1124D"/>
    <w:rsid w:val="00B222CB"/>
    <w:rsid w:val="00B22CC5"/>
    <w:rsid w:val="00B2387D"/>
    <w:rsid w:val="00B27867"/>
    <w:rsid w:val="00B377EF"/>
    <w:rsid w:val="00B44070"/>
    <w:rsid w:val="00B446F7"/>
    <w:rsid w:val="00B528B0"/>
    <w:rsid w:val="00B52CEE"/>
    <w:rsid w:val="00B53285"/>
    <w:rsid w:val="00B5394C"/>
    <w:rsid w:val="00B66788"/>
    <w:rsid w:val="00B71070"/>
    <w:rsid w:val="00B752E9"/>
    <w:rsid w:val="00B7730F"/>
    <w:rsid w:val="00B7758D"/>
    <w:rsid w:val="00B800E7"/>
    <w:rsid w:val="00B80E54"/>
    <w:rsid w:val="00B82208"/>
    <w:rsid w:val="00B8534C"/>
    <w:rsid w:val="00B85712"/>
    <w:rsid w:val="00B91124"/>
    <w:rsid w:val="00B914DE"/>
    <w:rsid w:val="00B9223E"/>
    <w:rsid w:val="00B92A93"/>
    <w:rsid w:val="00B92DC6"/>
    <w:rsid w:val="00B93A10"/>
    <w:rsid w:val="00B94066"/>
    <w:rsid w:val="00B95102"/>
    <w:rsid w:val="00B96BF5"/>
    <w:rsid w:val="00B97004"/>
    <w:rsid w:val="00BA68C3"/>
    <w:rsid w:val="00BB3675"/>
    <w:rsid w:val="00BB5965"/>
    <w:rsid w:val="00BC1019"/>
    <w:rsid w:val="00BC1353"/>
    <w:rsid w:val="00BC3419"/>
    <w:rsid w:val="00BD0838"/>
    <w:rsid w:val="00BD1811"/>
    <w:rsid w:val="00BD59A8"/>
    <w:rsid w:val="00BD59F1"/>
    <w:rsid w:val="00BD74E8"/>
    <w:rsid w:val="00BD7E8E"/>
    <w:rsid w:val="00BE03A2"/>
    <w:rsid w:val="00BE0676"/>
    <w:rsid w:val="00BE0C3C"/>
    <w:rsid w:val="00BE2C61"/>
    <w:rsid w:val="00BE2C78"/>
    <w:rsid w:val="00BE2D68"/>
    <w:rsid w:val="00BE396F"/>
    <w:rsid w:val="00BE4C87"/>
    <w:rsid w:val="00BE551C"/>
    <w:rsid w:val="00BE6DF2"/>
    <w:rsid w:val="00BE7D81"/>
    <w:rsid w:val="00BF0EDB"/>
    <w:rsid w:val="00BF49B5"/>
    <w:rsid w:val="00C03461"/>
    <w:rsid w:val="00C06654"/>
    <w:rsid w:val="00C10B69"/>
    <w:rsid w:val="00C117EB"/>
    <w:rsid w:val="00C121F9"/>
    <w:rsid w:val="00C12730"/>
    <w:rsid w:val="00C1627D"/>
    <w:rsid w:val="00C20DA7"/>
    <w:rsid w:val="00C2139D"/>
    <w:rsid w:val="00C2252D"/>
    <w:rsid w:val="00C22B94"/>
    <w:rsid w:val="00C22E2B"/>
    <w:rsid w:val="00C254AD"/>
    <w:rsid w:val="00C25EFC"/>
    <w:rsid w:val="00C26207"/>
    <w:rsid w:val="00C3771E"/>
    <w:rsid w:val="00C45B41"/>
    <w:rsid w:val="00C4603F"/>
    <w:rsid w:val="00C4658C"/>
    <w:rsid w:val="00C46ACF"/>
    <w:rsid w:val="00C5054C"/>
    <w:rsid w:val="00C53242"/>
    <w:rsid w:val="00C54385"/>
    <w:rsid w:val="00C5515D"/>
    <w:rsid w:val="00C57614"/>
    <w:rsid w:val="00C60BD6"/>
    <w:rsid w:val="00C6167B"/>
    <w:rsid w:val="00C6449D"/>
    <w:rsid w:val="00C658EA"/>
    <w:rsid w:val="00C66AF4"/>
    <w:rsid w:val="00C71E35"/>
    <w:rsid w:val="00C76326"/>
    <w:rsid w:val="00C76668"/>
    <w:rsid w:val="00C77FA7"/>
    <w:rsid w:val="00C81ADF"/>
    <w:rsid w:val="00C82C24"/>
    <w:rsid w:val="00C864FC"/>
    <w:rsid w:val="00C95C39"/>
    <w:rsid w:val="00C95D6E"/>
    <w:rsid w:val="00C9649F"/>
    <w:rsid w:val="00C96D66"/>
    <w:rsid w:val="00CA0A55"/>
    <w:rsid w:val="00CB1134"/>
    <w:rsid w:val="00CB1993"/>
    <w:rsid w:val="00CB19B3"/>
    <w:rsid w:val="00CB5772"/>
    <w:rsid w:val="00CB65D7"/>
    <w:rsid w:val="00CB6661"/>
    <w:rsid w:val="00CC0188"/>
    <w:rsid w:val="00CC45F0"/>
    <w:rsid w:val="00CC6AFC"/>
    <w:rsid w:val="00CC74D7"/>
    <w:rsid w:val="00CC7D8D"/>
    <w:rsid w:val="00CD03CD"/>
    <w:rsid w:val="00CD4436"/>
    <w:rsid w:val="00CD6EFD"/>
    <w:rsid w:val="00CD70E3"/>
    <w:rsid w:val="00CE564D"/>
    <w:rsid w:val="00CF337A"/>
    <w:rsid w:val="00CF3BC0"/>
    <w:rsid w:val="00CF48DD"/>
    <w:rsid w:val="00CF4B30"/>
    <w:rsid w:val="00CF559A"/>
    <w:rsid w:val="00CF600C"/>
    <w:rsid w:val="00CF78E8"/>
    <w:rsid w:val="00D007F1"/>
    <w:rsid w:val="00D00A3E"/>
    <w:rsid w:val="00D04323"/>
    <w:rsid w:val="00D04D35"/>
    <w:rsid w:val="00D078B3"/>
    <w:rsid w:val="00D12972"/>
    <w:rsid w:val="00D20169"/>
    <w:rsid w:val="00D22A63"/>
    <w:rsid w:val="00D26488"/>
    <w:rsid w:val="00D27B8E"/>
    <w:rsid w:val="00D3229E"/>
    <w:rsid w:val="00D341A5"/>
    <w:rsid w:val="00D442E2"/>
    <w:rsid w:val="00D4650C"/>
    <w:rsid w:val="00D46B28"/>
    <w:rsid w:val="00D549CC"/>
    <w:rsid w:val="00D5691C"/>
    <w:rsid w:val="00D63A53"/>
    <w:rsid w:val="00D63DD8"/>
    <w:rsid w:val="00D6451E"/>
    <w:rsid w:val="00D66130"/>
    <w:rsid w:val="00D666E5"/>
    <w:rsid w:val="00D70533"/>
    <w:rsid w:val="00D716DF"/>
    <w:rsid w:val="00D723AD"/>
    <w:rsid w:val="00D7453E"/>
    <w:rsid w:val="00D7763B"/>
    <w:rsid w:val="00D822E3"/>
    <w:rsid w:val="00D83968"/>
    <w:rsid w:val="00D86D47"/>
    <w:rsid w:val="00D87594"/>
    <w:rsid w:val="00D87ED6"/>
    <w:rsid w:val="00D93391"/>
    <w:rsid w:val="00D949D6"/>
    <w:rsid w:val="00D96DBA"/>
    <w:rsid w:val="00D96E4B"/>
    <w:rsid w:val="00D9749B"/>
    <w:rsid w:val="00DA6662"/>
    <w:rsid w:val="00DB0B55"/>
    <w:rsid w:val="00DB4051"/>
    <w:rsid w:val="00DB4386"/>
    <w:rsid w:val="00DB7696"/>
    <w:rsid w:val="00DC3376"/>
    <w:rsid w:val="00DC65FF"/>
    <w:rsid w:val="00DC7CA6"/>
    <w:rsid w:val="00DD7AC8"/>
    <w:rsid w:val="00DE0ED6"/>
    <w:rsid w:val="00DE10F5"/>
    <w:rsid w:val="00DE144F"/>
    <w:rsid w:val="00DE2010"/>
    <w:rsid w:val="00DE2405"/>
    <w:rsid w:val="00DE5F83"/>
    <w:rsid w:val="00DE79F7"/>
    <w:rsid w:val="00DF1085"/>
    <w:rsid w:val="00DF17D2"/>
    <w:rsid w:val="00DF26E6"/>
    <w:rsid w:val="00DF2B66"/>
    <w:rsid w:val="00DF5E87"/>
    <w:rsid w:val="00DF69D2"/>
    <w:rsid w:val="00DF7AED"/>
    <w:rsid w:val="00E004FF"/>
    <w:rsid w:val="00E00D44"/>
    <w:rsid w:val="00E01131"/>
    <w:rsid w:val="00E01848"/>
    <w:rsid w:val="00E01896"/>
    <w:rsid w:val="00E01F44"/>
    <w:rsid w:val="00E02F6D"/>
    <w:rsid w:val="00E04D4E"/>
    <w:rsid w:val="00E07D58"/>
    <w:rsid w:val="00E11D07"/>
    <w:rsid w:val="00E127BB"/>
    <w:rsid w:val="00E130C0"/>
    <w:rsid w:val="00E17164"/>
    <w:rsid w:val="00E174EC"/>
    <w:rsid w:val="00E20A10"/>
    <w:rsid w:val="00E22A6F"/>
    <w:rsid w:val="00E249CD"/>
    <w:rsid w:val="00E25EF6"/>
    <w:rsid w:val="00E26889"/>
    <w:rsid w:val="00E317F3"/>
    <w:rsid w:val="00E3754C"/>
    <w:rsid w:val="00E5054C"/>
    <w:rsid w:val="00E52651"/>
    <w:rsid w:val="00E5383E"/>
    <w:rsid w:val="00E542CA"/>
    <w:rsid w:val="00E5676F"/>
    <w:rsid w:val="00E56E03"/>
    <w:rsid w:val="00E63E87"/>
    <w:rsid w:val="00E65222"/>
    <w:rsid w:val="00E6676B"/>
    <w:rsid w:val="00E672BC"/>
    <w:rsid w:val="00E743C4"/>
    <w:rsid w:val="00E75067"/>
    <w:rsid w:val="00E764C8"/>
    <w:rsid w:val="00E830BD"/>
    <w:rsid w:val="00E86E4A"/>
    <w:rsid w:val="00E901DA"/>
    <w:rsid w:val="00E90B1A"/>
    <w:rsid w:val="00E93870"/>
    <w:rsid w:val="00E95F80"/>
    <w:rsid w:val="00E9777B"/>
    <w:rsid w:val="00EA4A6A"/>
    <w:rsid w:val="00EA6BAD"/>
    <w:rsid w:val="00EA792D"/>
    <w:rsid w:val="00EB1757"/>
    <w:rsid w:val="00EC0239"/>
    <w:rsid w:val="00EC14CE"/>
    <w:rsid w:val="00EC25F7"/>
    <w:rsid w:val="00EC3BAF"/>
    <w:rsid w:val="00EC6E61"/>
    <w:rsid w:val="00ED4AD0"/>
    <w:rsid w:val="00ED6140"/>
    <w:rsid w:val="00EF21AE"/>
    <w:rsid w:val="00EF3367"/>
    <w:rsid w:val="00EF3F08"/>
    <w:rsid w:val="00F00527"/>
    <w:rsid w:val="00F01974"/>
    <w:rsid w:val="00F04E04"/>
    <w:rsid w:val="00F075A6"/>
    <w:rsid w:val="00F1126C"/>
    <w:rsid w:val="00F122D7"/>
    <w:rsid w:val="00F13512"/>
    <w:rsid w:val="00F14A95"/>
    <w:rsid w:val="00F21242"/>
    <w:rsid w:val="00F2242D"/>
    <w:rsid w:val="00F25C85"/>
    <w:rsid w:val="00F275B0"/>
    <w:rsid w:val="00F303AC"/>
    <w:rsid w:val="00F30EE1"/>
    <w:rsid w:val="00F35654"/>
    <w:rsid w:val="00F37084"/>
    <w:rsid w:val="00F42D54"/>
    <w:rsid w:val="00F43505"/>
    <w:rsid w:val="00F451F3"/>
    <w:rsid w:val="00F517C2"/>
    <w:rsid w:val="00F52FC7"/>
    <w:rsid w:val="00F53E6A"/>
    <w:rsid w:val="00F543F5"/>
    <w:rsid w:val="00F60766"/>
    <w:rsid w:val="00F63415"/>
    <w:rsid w:val="00F66898"/>
    <w:rsid w:val="00F70E51"/>
    <w:rsid w:val="00F71110"/>
    <w:rsid w:val="00F7205C"/>
    <w:rsid w:val="00F72C15"/>
    <w:rsid w:val="00F7643B"/>
    <w:rsid w:val="00F77FE5"/>
    <w:rsid w:val="00F86714"/>
    <w:rsid w:val="00F931D8"/>
    <w:rsid w:val="00F93F6B"/>
    <w:rsid w:val="00F966AE"/>
    <w:rsid w:val="00FA056F"/>
    <w:rsid w:val="00FA55FA"/>
    <w:rsid w:val="00FA634E"/>
    <w:rsid w:val="00FA700B"/>
    <w:rsid w:val="00FB1BDF"/>
    <w:rsid w:val="00FB21C4"/>
    <w:rsid w:val="00FB2F5C"/>
    <w:rsid w:val="00FB3D29"/>
    <w:rsid w:val="00FB4C14"/>
    <w:rsid w:val="00FB5C4B"/>
    <w:rsid w:val="00FB6C14"/>
    <w:rsid w:val="00FC2514"/>
    <w:rsid w:val="00FC79AD"/>
    <w:rsid w:val="00FD3BE1"/>
    <w:rsid w:val="00FD46FE"/>
    <w:rsid w:val="00FD6D65"/>
    <w:rsid w:val="00FD7BBF"/>
    <w:rsid w:val="00FE4E45"/>
    <w:rsid w:val="00FE7B21"/>
    <w:rsid w:val="00FF4382"/>
    <w:rsid w:val="00FF6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57F14-6950-452D-BEBB-9AF33CB2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898"/>
    <w:rPr>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3229E"/>
  </w:style>
  <w:style w:type="character" w:customStyle="1" w:styleId="BodyTextChar">
    <w:name w:val="Body Text Char"/>
    <w:link w:val="BodyText"/>
    <w:uiPriority w:val="1"/>
    <w:rsid w:val="00D3229E"/>
    <w:rPr>
      <w:rFonts w:eastAsia="Times New Roman"/>
      <w:sz w:val="24"/>
      <w:szCs w:val="24"/>
    </w:rPr>
  </w:style>
  <w:style w:type="paragraph" w:styleId="BodyText">
    <w:name w:val="Body Text"/>
    <w:basedOn w:val="Normal"/>
    <w:link w:val="BodyTextChar"/>
    <w:uiPriority w:val="1"/>
    <w:unhideWhenUsed/>
    <w:qFormat/>
    <w:rsid w:val="00D3229E"/>
    <w:pPr>
      <w:spacing w:before="100" w:beforeAutospacing="1" w:after="100" w:afterAutospacing="1"/>
    </w:pPr>
    <w:rPr>
      <w:rFonts w:eastAsia="Times New Roman"/>
      <w:sz w:val="24"/>
      <w:szCs w:val="24"/>
    </w:rPr>
  </w:style>
  <w:style w:type="character" w:styleId="FootnoteReference">
    <w:name w:val="footnote reference"/>
    <w:uiPriority w:val="99"/>
    <w:semiHidden/>
    <w:unhideWhenUsed/>
    <w:rsid w:val="00D3229E"/>
  </w:style>
  <w:style w:type="character" w:customStyle="1" w:styleId="FootnoteTextChar">
    <w:name w:val="Footnote Text Char"/>
    <w:link w:val="FootnoteText"/>
    <w:uiPriority w:val="99"/>
    <w:semiHidden/>
    <w:rsid w:val="00D3229E"/>
    <w:rPr>
      <w:rFonts w:eastAsia="Times New Roman"/>
      <w:sz w:val="24"/>
      <w:szCs w:val="24"/>
    </w:rPr>
  </w:style>
  <w:style w:type="paragraph" w:styleId="FootnoteText">
    <w:name w:val="footnote text"/>
    <w:basedOn w:val="Normal"/>
    <w:link w:val="FootnoteTextChar"/>
    <w:uiPriority w:val="99"/>
    <w:semiHidden/>
    <w:unhideWhenUsed/>
    <w:rsid w:val="00D3229E"/>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F25C85"/>
    <w:pPr>
      <w:tabs>
        <w:tab w:val="center" w:pos="4680"/>
        <w:tab w:val="right" w:pos="9360"/>
      </w:tabs>
    </w:pPr>
  </w:style>
  <w:style w:type="character" w:customStyle="1" w:styleId="HeaderChar">
    <w:name w:val="Header Char"/>
    <w:basedOn w:val="DefaultParagraphFont"/>
    <w:link w:val="Header"/>
    <w:uiPriority w:val="99"/>
    <w:rsid w:val="00F25C85"/>
    <w:rPr>
      <w:sz w:val="28"/>
      <w:szCs w:val="22"/>
      <w:lang w:val="vi-VN"/>
    </w:rPr>
  </w:style>
  <w:style w:type="paragraph" w:styleId="Footer">
    <w:name w:val="footer"/>
    <w:basedOn w:val="Normal"/>
    <w:link w:val="FooterChar"/>
    <w:uiPriority w:val="99"/>
    <w:unhideWhenUsed/>
    <w:rsid w:val="00F25C85"/>
    <w:pPr>
      <w:tabs>
        <w:tab w:val="center" w:pos="4680"/>
        <w:tab w:val="right" w:pos="9360"/>
      </w:tabs>
    </w:pPr>
  </w:style>
  <w:style w:type="character" w:customStyle="1" w:styleId="FooterChar">
    <w:name w:val="Footer Char"/>
    <w:basedOn w:val="DefaultParagraphFont"/>
    <w:link w:val="Footer"/>
    <w:uiPriority w:val="99"/>
    <w:rsid w:val="00F25C85"/>
    <w:rPr>
      <w:sz w:val="28"/>
      <w:szCs w:val="22"/>
      <w:lang w:val="vi-VN"/>
    </w:rPr>
  </w:style>
  <w:style w:type="paragraph" w:styleId="BodyTextIndent3">
    <w:name w:val="Body Text Indent 3"/>
    <w:basedOn w:val="Normal"/>
    <w:rsid w:val="0016270E"/>
    <w:pPr>
      <w:spacing w:after="120"/>
      <w:ind w:left="360"/>
    </w:pPr>
    <w:rPr>
      <w:rFonts w:ascii=".VnTime" w:eastAsia="Times New Roman" w:hAnsi=".VnTime"/>
      <w:sz w:val="16"/>
      <w:szCs w:val="16"/>
      <w:lang w:val="en-US"/>
    </w:rPr>
  </w:style>
  <w:style w:type="character" w:styleId="PageNumber">
    <w:name w:val="page number"/>
    <w:basedOn w:val="DefaultParagraphFont"/>
    <w:rsid w:val="00074ECA"/>
  </w:style>
  <w:style w:type="paragraph" w:styleId="BodyTextIndent">
    <w:name w:val="Body Text Indent"/>
    <w:basedOn w:val="Normal"/>
    <w:rsid w:val="009578AC"/>
    <w:pPr>
      <w:spacing w:after="120"/>
      <w:ind w:left="360"/>
    </w:pPr>
    <w:rPr>
      <w:rFonts w:eastAsia="Times New Roman"/>
      <w:szCs w:val="28"/>
      <w:lang w:val="en-US"/>
    </w:rPr>
  </w:style>
  <w:style w:type="paragraph" w:customStyle="1" w:styleId="Char">
    <w:name w:val="Char"/>
    <w:basedOn w:val="Normal"/>
    <w:rsid w:val="00F71110"/>
    <w:pPr>
      <w:spacing w:after="160" w:line="240" w:lineRule="exact"/>
    </w:pPr>
    <w:rPr>
      <w:rFonts w:ascii="Verdana" w:eastAsia="MS Mincho" w:hAnsi="Verdana"/>
      <w:sz w:val="20"/>
      <w:szCs w:val="20"/>
      <w:lang w:val="en-US"/>
    </w:rPr>
  </w:style>
  <w:style w:type="paragraph" w:styleId="NormalWeb">
    <w:name w:val="Normal (Web)"/>
    <w:basedOn w:val="Normal"/>
    <w:rsid w:val="009B1CCE"/>
    <w:pPr>
      <w:spacing w:before="100" w:beforeAutospacing="1" w:after="100" w:afterAutospacing="1"/>
    </w:pPr>
    <w:rPr>
      <w:rFonts w:eastAsia="Times New Roman"/>
      <w:sz w:val="24"/>
      <w:szCs w:val="24"/>
      <w:lang w:val="en-US"/>
    </w:rPr>
  </w:style>
  <w:style w:type="paragraph" w:styleId="BalloonText">
    <w:name w:val="Balloon Text"/>
    <w:basedOn w:val="Normal"/>
    <w:link w:val="BalloonTextChar"/>
    <w:uiPriority w:val="99"/>
    <w:semiHidden/>
    <w:unhideWhenUsed/>
    <w:rsid w:val="003F6B04"/>
    <w:rPr>
      <w:rFonts w:ascii="Tahoma" w:hAnsi="Tahoma" w:cs="Tahoma"/>
      <w:sz w:val="16"/>
      <w:szCs w:val="16"/>
    </w:rPr>
  </w:style>
  <w:style w:type="character" w:customStyle="1" w:styleId="BalloonTextChar">
    <w:name w:val="Balloon Text Char"/>
    <w:basedOn w:val="DefaultParagraphFont"/>
    <w:link w:val="BalloonText"/>
    <w:uiPriority w:val="99"/>
    <w:semiHidden/>
    <w:rsid w:val="003F6B04"/>
    <w:rPr>
      <w:rFonts w:ascii="Tahoma" w:hAnsi="Tahoma" w:cs="Tahoma"/>
      <w:sz w:val="16"/>
      <w:szCs w:val="16"/>
      <w:lang w:val="vi-VN"/>
    </w:rPr>
  </w:style>
  <w:style w:type="paragraph" w:styleId="ListParagraph">
    <w:name w:val="List Paragraph"/>
    <w:basedOn w:val="Normal"/>
    <w:uiPriority w:val="1"/>
    <w:qFormat/>
    <w:rsid w:val="000375E8"/>
    <w:pPr>
      <w:widowControl w:val="0"/>
      <w:autoSpaceDE w:val="0"/>
      <w:autoSpaceDN w:val="0"/>
      <w:spacing w:before="121"/>
      <w:ind w:left="1702" w:firstLine="624"/>
      <w:jc w:val="both"/>
    </w:pPr>
    <w:rPr>
      <w:rFonts w:eastAsia="Times New Roman"/>
      <w:sz w:val="22"/>
      <w:lang w:val="en-US" w:bidi="en-US"/>
    </w:rPr>
  </w:style>
  <w:style w:type="character" w:styleId="CommentReference">
    <w:name w:val="annotation reference"/>
    <w:basedOn w:val="DefaultParagraphFont"/>
    <w:uiPriority w:val="99"/>
    <w:semiHidden/>
    <w:unhideWhenUsed/>
    <w:rsid w:val="00835A7E"/>
    <w:rPr>
      <w:sz w:val="16"/>
      <w:szCs w:val="16"/>
    </w:rPr>
  </w:style>
  <w:style w:type="paragraph" w:styleId="CommentText">
    <w:name w:val="annotation text"/>
    <w:basedOn w:val="Normal"/>
    <w:link w:val="CommentTextChar"/>
    <w:uiPriority w:val="99"/>
    <w:semiHidden/>
    <w:unhideWhenUsed/>
    <w:rsid w:val="00835A7E"/>
    <w:rPr>
      <w:sz w:val="20"/>
      <w:szCs w:val="20"/>
    </w:rPr>
  </w:style>
  <w:style w:type="character" w:customStyle="1" w:styleId="CommentTextChar">
    <w:name w:val="Comment Text Char"/>
    <w:basedOn w:val="DefaultParagraphFont"/>
    <w:link w:val="CommentText"/>
    <w:uiPriority w:val="99"/>
    <w:semiHidden/>
    <w:rsid w:val="00835A7E"/>
    <w:rPr>
      <w:lang w:val="vi-VN"/>
    </w:rPr>
  </w:style>
  <w:style w:type="paragraph" w:styleId="CommentSubject">
    <w:name w:val="annotation subject"/>
    <w:basedOn w:val="CommentText"/>
    <w:next w:val="CommentText"/>
    <w:link w:val="CommentSubjectChar"/>
    <w:uiPriority w:val="99"/>
    <w:semiHidden/>
    <w:unhideWhenUsed/>
    <w:rsid w:val="00835A7E"/>
    <w:rPr>
      <w:b/>
      <w:bCs/>
    </w:rPr>
  </w:style>
  <w:style w:type="character" w:customStyle="1" w:styleId="CommentSubjectChar">
    <w:name w:val="Comment Subject Char"/>
    <w:basedOn w:val="CommentTextChar"/>
    <w:link w:val="CommentSubject"/>
    <w:uiPriority w:val="99"/>
    <w:semiHidden/>
    <w:rsid w:val="00835A7E"/>
    <w:rPr>
      <w:b/>
      <w:bCs/>
      <w:lang w:val="vi-VN"/>
    </w:rPr>
  </w:style>
  <w:style w:type="character" w:customStyle="1" w:styleId="fontstyle01">
    <w:name w:val="fontstyle01"/>
    <w:basedOn w:val="DefaultParagraphFont"/>
    <w:rsid w:val="00D27B8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437932">
      <w:bodyDiv w:val="1"/>
      <w:marLeft w:val="0"/>
      <w:marRight w:val="0"/>
      <w:marTop w:val="0"/>
      <w:marBottom w:val="0"/>
      <w:divBdr>
        <w:top w:val="none" w:sz="0" w:space="0" w:color="auto"/>
        <w:left w:val="none" w:sz="0" w:space="0" w:color="auto"/>
        <w:bottom w:val="none" w:sz="0" w:space="0" w:color="auto"/>
        <w:right w:val="none" w:sz="0" w:space="0" w:color="auto"/>
      </w:divBdr>
    </w:div>
    <w:div w:id="1821921393">
      <w:bodyDiv w:val="1"/>
      <w:marLeft w:val="0"/>
      <w:marRight w:val="0"/>
      <w:marTop w:val="0"/>
      <w:marBottom w:val="0"/>
      <w:divBdr>
        <w:top w:val="none" w:sz="0" w:space="0" w:color="auto"/>
        <w:left w:val="none" w:sz="0" w:space="0" w:color="auto"/>
        <w:bottom w:val="none" w:sz="0" w:space="0" w:color="auto"/>
        <w:right w:val="none" w:sz="0" w:space="0" w:color="auto"/>
      </w:divBdr>
      <w:divsChild>
        <w:div w:id="757096294">
          <w:marLeft w:val="0"/>
          <w:marRight w:val="0"/>
          <w:marTop w:val="0"/>
          <w:marBottom w:val="0"/>
          <w:divBdr>
            <w:top w:val="none" w:sz="0" w:space="0" w:color="auto"/>
            <w:left w:val="none" w:sz="0" w:space="0" w:color="auto"/>
            <w:bottom w:val="none" w:sz="0" w:space="0" w:color="auto"/>
            <w:right w:val="none" w:sz="0" w:space="0" w:color="auto"/>
          </w:divBdr>
        </w:div>
      </w:divsChild>
    </w:div>
    <w:div w:id="18918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8B70-0042-4C92-A6F0-668C43AF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4203</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28105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My PC</dc:creator>
  <cp:lastModifiedBy>Microsoft account</cp:lastModifiedBy>
  <cp:revision>2</cp:revision>
  <cp:lastPrinted>2020-10-15T03:17:00Z</cp:lastPrinted>
  <dcterms:created xsi:type="dcterms:W3CDTF">2020-12-15T10:45:00Z</dcterms:created>
  <dcterms:modified xsi:type="dcterms:W3CDTF">2020-12-15T10:45:00Z</dcterms:modified>
</cp:coreProperties>
</file>